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79BF2" w14:textId="77777777" w:rsidR="00D9196E" w:rsidRPr="00D9196E" w:rsidRDefault="00D9196E" w:rsidP="00D9196E">
      <w:pPr>
        <w:tabs>
          <w:tab w:val="left" w:pos="-720"/>
        </w:tabs>
        <w:suppressAutoHyphens/>
        <w:spacing w:after="0" w:line="240" w:lineRule="auto"/>
        <w:jc w:val="center"/>
        <w:rPr>
          <w:rFonts w:ascii="Verdana" w:hAnsi="Verdana" w:cs="Arial"/>
          <w:b/>
          <w:spacing w:val="-3"/>
          <w:sz w:val="20"/>
          <w:szCs w:val="20"/>
        </w:rPr>
      </w:pPr>
      <w:r w:rsidRPr="00D9196E">
        <w:rPr>
          <w:rFonts w:ascii="Verdana" w:hAnsi="Verdana" w:cs="Arial"/>
          <w:b/>
          <w:spacing w:val="-3"/>
          <w:sz w:val="20"/>
          <w:szCs w:val="20"/>
        </w:rPr>
        <w:t>PARTE 2</w:t>
      </w:r>
    </w:p>
    <w:p w14:paraId="29867F56" w14:textId="77777777" w:rsidR="00D9196E" w:rsidRPr="00D9196E" w:rsidRDefault="00D9196E" w:rsidP="00D9196E">
      <w:pPr>
        <w:tabs>
          <w:tab w:val="left" w:pos="-720"/>
        </w:tabs>
        <w:suppressAutoHyphens/>
        <w:spacing w:after="0" w:line="240" w:lineRule="auto"/>
        <w:jc w:val="center"/>
        <w:rPr>
          <w:rFonts w:ascii="Verdana" w:hAnsi="Verdana" w:cs="Arial"/>
          <w:b/>
          <w:spacing w:val="-3"/>
          <w:sz w:val="20"/>
          <w:szCs w:val="20"/>
        </w:rPr>
      </w:pPr>
      <w:r w:rsidRPr="00D9196E">
        <w:rPr>
          <w:rFonts w:ascii="Verdana" w:hAnsi="Verdana" w:cs="Arial"/>
          <w:b/>
          <w:spacing w:val="-3"/>
          <w:sz w:val="20"/>
          <w:szCs w:val="20"/>
        </w:rPr>
        <w:t>CONTROLES DE LEY Y ASUNTOS PRUDENCIALES</w:t>
      </w:r>
    </w:p>
    <w:p w14:paraId="27CFD9B7" w14:textId="77777777" w:rsidR="00D9196E" w:rsidRPr="00D9196E" w:rsidRDefault="00D9196E" w:rsidP="00D9196E">
      <w:pPr>
        <w:tabs>
          <w:tab w:val="left" w:pos="-720"/>
        </w:tabs>
        <w:suppressAutoHyphens/>
        <w:spacing w:after="0" w:line="240" w:lineRule="auto"/>
        <w:jc w:val="center"/>
        <w:rPr>
          <w:rFonts w:ascii="Verdana" w:hAnsi="Verdana" w:cs="Arial"/>
          <w:b/>
          <w:spacing w:val="-3"/>
          <w:sz w:val="20"/>
          <w:szCs w:val="20"/>
        </w:rPr>
      </w:pPr>
    </w:p>
    <w:p w14:paraId="6BE0024B" w14:textId="77777777" w:rsidR="00D9196E" w:rsidRPr="00D9196E" w:rsidRDefault="00D9196E" w:rsidP="00D9196E">
      <w:pPr>
        <w:tabs>
          <w:tab w:val="left" w:pos="-720"/>
        </w:tabs>
        <w:suppressAutoHyphens/>
        <w:spacing w:after="0" w:line="240" w:lineRule="auto"/>
        <w:jc w:val="center"/>
        <w:rPr>
          <w:rFonts w:ascii="Verdana" w:hAnsi="Verdana" w:cs="Arial"/>
          <w:b/>
          <w:spacing w:val="-3"/>
          <w:sz w:val="20"/>
          <w:szCs w:val="20"/>
        </w:rPr>
      </w:pPr>
      <w:r w:rsidRPr="00D9196E">
        <w:rPr>
          <w:rFonts w:ascii="Verdana" w:hAnsi="Verdana" w:cs="Arial"/>
          <w:b/>
          <w:spacing w:val="-3"/>
          <w:sz w:val="20"/>
          <w:szCs w:val="20"/>
        </w:rPr>
        <w:t>CAPÍTULO 3</w:t>
      </w:r>
    </w:p>
    <w:p w14:paraId="2DD9AC0F" w14:textId="7484942E" w:rsidR="00D9196E" w:rsidRDefault="00D9196E" w:rsidP="00D9196E">
      <w:pPr>
        <w:tabs>
          <w:tab w:val="left" w:pos="-720"/>
        </w:tabs>
        <w:suppressAutoHyphens/>
        <w:spacing w:after="0" w:line="240" w:lineRule="auto"/>
        <w:jc w:val="center"/>
        <w:rPr>
          <w:rFonts w:ascii="Verdana" w:hAnsi="Verdana" w:cs="Arial"/>
          <w:b/>
          <w:spacing w:val="-3"/>
          <w:sz w:val="20"/>
          <w:szCs w:val="20"/>
        </w:rPr>
      </w:pPr>
      <w:r w:rsidRPr="00D9196E">
        <w:rPr>
          <w:rFonts w:ascii="Verdana" w:hAnsi="Verdana" w:cs="Arial"/>
          <w:b/>
          <w:spacing w:val="-3"/>
          <w:sz w:val="20"/>
          <w:szCs w:val="20"/>
        </w:rPr>
        <w:t>RÉGIMEN PRUDENCIAL DE LAS RESERVAS TÉCNICAS DE LAS ENTIDADES ASEGURADORAS</w:t>
      </w:r>
    </w:p>
    <w:p w14:paraId="2FC8DD4E" w14:textId="77777777" w:rsidR="00D9196E" w:rsidRDefault="00D9196E" w:rsidP="00D9196E">
      <w:pPr>
        <w:tabs>
          <w:tab w:val="left" w:pos="-720"/>
        </w:tabs>
        <w:suppressAutoHyphens/>
        <w:spacing w:after="0" w:line="240" w:lineRule="auto"/>
        <w:jc w:val="center"/>
        <w:rPr>
          <w:rFonts w:ascii="Verdana" w:hAnsi="Verdana" w:cs="Arial"/>
          <w:b/>
          <w:spacing w:val="-3"/>
          <w:sz w:val="20"/>
          <w:szCs w:val="20"/>
        </w:rPr>
      </w:pPr>
    </w:p>
    <w:p w14:paraId="7D96FE0F" w14:textId="194562C7" w:rsidR="004817DC" w:rsidRPr="00D9196E" w:rsidRDefault="00EF2E73" w:rsidP="00D9196E">
      <w:pPr>
        <w:tabs>
          <w:tab w:val="left" w:pos="-720"/>
        </w:tabs>
        <w:suppressAutoHyphens/>
        <w:spacing w:after="0" w:line="240" w:lineRule="auto"/>
        <w:jc w:val="center"/>
        <w:rPr>
          <w:rFonts w:ascii="Verdana" w:hAnsi="Verdana" w:cs="Arial"/>
          <w:b/>
          <w:spacing w:val="-3"/>
          <w:sz w:val="20"/>
          <w:szCs w:val="20"/>
        </w:rPr>
      </w:pPr>
      <w:r w:rsidRPr="00D9196E">
        <w:rPr>
          <w:rFonts w:ascii="Verdana" w:hAnsi="Verdana" w:cs="Arial"/>
          <w:b/>
          <w:spacing w:val="-3"/>
          <w:sz w:val="20"/>
          <w:szCs w:val="20"/>
        </w:rPr>
        <w:t xml:space="preserve">ANEXO 1 </w:t>
      </w:r>
    </w:p>
    <w:p w14:paraId="62C3458E" w14:textId="20E2CAF2" w:rsidR="00EF2E73" w:rsidRPr="00D9196E" w:rsidRDefault="00EF2E73" w:rsidP="00EF2E73">
      <w:pPr>
        <w:tabs>
          <w:tab w:val="left" w:pos="-720"/>
        </w:tabs>
        <w:suppressAutoHyphens/>
        <w:spacing w:after="0" w:line="240" w:lineRule="auto"/>
        <w:jc w:val="center"/>
        <w:rPr>
          <w:rFonts w:ascii="Verdana" w:hAnsi="Verdana" w:cs="Arial"/>
          <w:b/>
          <w:spacing w:val="-3"/>
          <w:sz w:val="20"/>
          <w:szCs w:val="20"/>
        </w:rPr>
      </w:pPr>
      <w:r w:rsidRPr="00D9196E">
        <w:rPr>
          <w:rFonts w:ascii="Verdana" w:hAnsi="Verdana" w:cs="Arial"/>
          <w:b/>
          <w:spacing w:val="-3"/>
          <w:sz w:val="20"/>
          <w:szCs w:val="20"/>
        </w:rPr>
        <w:t>METODOLOGÍA DE CÁLCULO DE LA RESERVA POR INSUFICIENCIA DE ACTIVOS</w:t>
      </w:r>
    </w:p>
    <w:p w14:paraId="1B98236A"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4E981337"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3C9378C1" w14:textId="36935E5E" w:rsidR="00EF2E73" w:rsidRPr="00C537A5" w:rsidRDefault="00D9196E" w:rsidP="00C537A5">
      <w:pPr>
        <w:tabs>
          <w:tab w:val="left" w:pos="-720"/>
        </w:tabs>
        <w:suppressAutoHyphens/>
        <w:spacing w:after="0" w:line="240" w:lineRule="auto"/>
        <w:jc w:val="both"/>
        <w:rPr>
          <w:rFonts w:ascii="Verdana" w:hAnsi="Verdana" w:cs="Arial"/>
          <w:b/>
          <w:spacing w:val="-3"/>
          <w:sz w:val="20"/>
          <w:szCs w:val="20"/>
        </w:rPr>
      </w:pPr>
      <w:r w:rsidRPr="00C537A5">
        <w:rPr>
          <w:rFonts w:ascii="Verdana" w:hAnsi="Verdana" w:cs="Arial"/>
          <w:b/>
          <w:spacing w:val="-3"/>
          <w:sz w:val="20"/>
          <w:szCs w:val="20"/>
        </w:rPr>
        <w:t>CONSIDERACIONES GENERALES</w:t>
      </w:r>
    </w:p>
    <w:p w14:paraId="008C5FC1" w14:textId="77777777" w:rsidR="00EF2E73" w:rsidRPr="00D9196E" w:rsidRDefault="00EF2E73" w:rsidP="001A5E9A">
      <w:pPr>
        <w:tabs>
          <w:tab w:val="left" w:pos="-720"/>
        </w:tabs>
        <w:suppressAutoHyphens/>
        <w:spacing w:after="0" w:line="240" w:lineRule="auto"/>
        <w:jc w:val="both"/>
        <w:rPr>
          <w:rFonts w:ascii="Verdana" w:hAnsi="Verdana" w:cs="Arial"/>
          <w:b/>
          <w:spacing w:val="-3"/>
          <w:sz w:val="20"/>
          <w:szCs w:val="20"/>
        </w:rPr>
      </w:pPr>
    </w:p>
    <w:p w14:paraId="6CD46600" w14:textId="77777777" w:rsidR="00D67028" w:rsidRDefault="00D9196E" w:rsidP="53CE3691">
      <w:pPr>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2.3.A1.1. </w:t>
      </w:r>
    </w:p>
    <w:p w14:paraId="664F2F37" w14:textId="42012FDC" w:rsidR="00EF2E73" w:rsidRPr="00D9196E" w:rsidRDefault="4DD77899" w:rsidP="53CE3691">
      <w:pPr>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De acuerdo con </w:t>
      </w:r>
      <w:r w:rsidR="00D9196E">
        <w:rPr>
          <w:rFonts w:ascii="Verdana" w:hAnsi="Verdana" w:cs="Arial"/>
          <w:spacing w:val="-3"/>
          <w:sz w:val="20"/>
          <w:szCs w:val="20"/>
        </w:rPr>
        <w:t>los</w:t>
      </w:r>
      <w:r w:rsidRPr="00D9196E">
        <w:rPr>
          <w:rFonts w:ascii="Verdana" w:hAnsi="Verdana" w:cs="Arial"/>
          <w:spacing w:val="-3"/>
          <w:sz w:val="20"/>
          <w:szCs w:val="20"/>
        </w:rPr>
        <w:t xml:space="preserve"> </w:t>
      </w:r>
      <w:r w:rsidR="00D9196E" w:rsidRPr="00D9196E">
        <w:rPr>
          <w:rFonts w:ascii="Verdana" w:hAnsi="Verdana" w:cs="Arial"/>
          <w:spacing w:val="-3"/>
          <w:sz w:val="20"/>
          <w:szCs w:val="20"/>
        </w:rPr>
        <w:t>párrafos 2.3.45. al 2.3.48.</w:t>
      </w:r>
      <w:r w:rsidRPr="00D9196E">
        <w:rPr>
          <w:rFonts w:ascii="Verdana" w:hAnsi="Verdana" w:cs="Arial"/>
          <w:spacing w:val="-3"/>
          <w:sz w:val="20"/>
          <w:szCs w:val="20"/>
        </w:rPr>
        <w:t xml:space="preserve"> </w:t>
      </w:r>
      <w:r w:rsidR="13E25117" w:rsidRPr="00D9196E">
        <w:rPr>
          <w:rFonts w:ascii="Verdana" w:hAnsi="Verdana" w:cs="Arial"/>
          <w:spacing w:val="-3"/>
          <w:sz w:val="20"/>
          <w:szCs w:val="20"/>
        </w:rPr>
        <w:t xml:space="preserve">del </w:t>
      </w:r>
      <w:r w:rsidR="00D67028">
        <w:rPr>
          <w:rFonts w:ascii="Verdana" w:hAnsi="Verdana" w:cs="Arial"/>
          <w:spacing w:val="-3"/>
          <w:sz w:val="20"/>
          <w:szCs w:val="20"/>
        </w:rPr>
        <w:t>c</w:t>
      </w:r>
      <w:r w:rsidR="13E25117" w:rsidRPr="00D9196E">
        <w:rPr>
          <w:rFonts w:ascii="Verdana" w:hAnsi="Verdana" w:cs="Arial"/>
          <w:spacing w:val="-3"/>
          <w:sz w:val="20"/>
          <w:szCs w:val="20"/>
        </w:rPr>
        <w:t xml:space="preserve">apítulo </w:t>
      </w:r>
      <w:r w:rsidR="00D9196E" w:rsidRPr="00D9196E">
        <w:rPr>
          <w:rFonts w:ascii="Verdana" w:hAnsi="Verdana" w:cs="Arial"/>
          <w:spacing w:val="-3"/>
          <w:sz w:val="20"/>
          <w:szCs w:val="20"/>
        </w:rPr>
        <w:t xml:space="preserve">3 </w:t>
      </w:r>
      <w:r w:rsidR="13E25117" w:rsidRPr="00D9196E">
        <w:rPr>
          <w:rFonts w:ascii="Verdana" w:hAnsi="Verdana" w:cs="Arial"/>
          <w:spacing w:val="-3"/>
          <w:sz w:val="20"/>
          <w:szCs w:val="20"/>
        </w:rPr>
        <w:t xml:space="preserve">de </w:t>
      </w:r>
      <w:r w:rsidR="00D9196E" w:rsidRPr="00D9196E">
        <w:rPr>
          <w:rFonts w:ascii="Verdana" w:hAnsi="Verdana" w:cs="Arial"/>
          <w:spacing w:val="-3"/>
          <w:sz w:val="20"/>
          <w:szCs w:val="20"/>
        </w:rPr>
        <w:t xml:space="preserve">la </w:t>
      </w:r>
      <w:r w:rsidR="00D67028">
        <w:rPr>
          <w:rFonts w:ascii="Verdana" w:hAnsi="Verdana" w:cs="Arial"/>
          <w:spacing w:val="-3"/>
          <w:sz w:val="20"/>
          <w:szCs w:val="20"/>
        </w:rPr>
        <w:t>p</w:t>
      </w:r>
      <w:r w:rsidR="00D9196E" w:rsidRPr="00D9196E">
        <w:rPr>
          <w:rFonts w:ascii="Verdana" w:hAnsi="Verdana" w:cs="Arial"/>
          <w:spacing w:val="-3"/>
          <w:sz w:val="20"/>
          <w:szCs w:val="20"/>
        </w:rPr>
        <w:t>arte 2 de la C</w:t>
      </w:r>
      <w:r w:rsidR="00C75512">
        <w:rPr>
          <w:rFonts w:ascii="Verdana" w:hAnsi="Verdana" w:cs="Arial"/>
          <w:spacing w:val="-3"/>
          <w:sz w:val="20"/>
          <w:szCs w:val="20"/>
        </w:rPr>
        <w:t>B</w:t>
      </w:r>
      <w:r w:rsidR="00D9196E" w:rsidRPr="00D9196E">
        <w:rPr>
          <w:rFonts w:ascii="Verdana" w:hAnsi="Verdana" w:cs="Arial"/>
          <w:spacing w:val="-3"/>
          <w:sz w:val="20"/>
          <w:szCs w:val="20"/>
        </w:rPr>
        <w:t>F</w:t>
      </w:r>
      <w:r w:rsidR="13E25117" w:rsidRPr="00D9196E">
        <w:rPr>
          <w:rFonts w:ascii="Verdana" w:hAnsi="Verdana" w:cs="Arial"/>
          <w:spacing w:val="-3"/>
          <w:sz w:val="20"/>
          <w:szCs w:val="20"/>
        </w:rPr>
        <w:t>,</w:t>
      </w:r>
      <w:r w:rsidR="55024364" w:rsidRPr="00D9196E">
        <w:rPr>
          <w:rFonts w:ascii="Verdana" w:hAnsi="Verdana" w:cs="Arial"/>
          <w:spacing w:val="-3"/>
          <w:sz w:val="20"/>
          <w:szCs w:val="20"/>
        </w:rPr>
        <w:t xml:space="preserve"> el presente </w:t>
      </w:r>
      <w:r w:rsidR="4EFC36ED" w:rsidRPr="00D9196E">
        <w:rPr>
          <w:rFonts w:ascii="Verdana" w:hAnsi="Verdana" w:cs="Arial"/>
          <w:spacing w:val="-3"/>
          <w:sz w:val="20"/>
          <w:szCs w:val="20"/>
        </w:rPr>
        <w:t>a</w:t>
      </w:r>
      <w:r w:rsidR="55024364" w:rsidRPr="00D9196E">
        <w:rPr>
          <w:rFonts w:ascii="Verdana" w:hAnsi="Verdana" w:cs="Arial"/>
          <w:spacing w:val="-3"/>
          <w:sz w:val="20"/>
          <w:szCs w:val="20"/>
        </w:rPr>
        <w:t>nexo establece el procedimiento de cálculo de la Reserva por Insuficiencia de Activos (RIA)</w:t>
      </w:r>
      <w:r w:rsidR="3862E98D" w:rsidRPr="00D9196E">
        <w:rPr>
          <w:rFonts w:ascii="Verdana" w:hAnsi="Verdana" w:cs="Arial"/>
          <w:spacing w:val="-3"/>
          <w:sz w:val="20"/>
          <w:szCs w:val="20"/>
        </w:rPr>
        <w:t>.</w:t>
      </w:r>
    </w:p>
    <w:p w14:paraId="066638B5"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70CC8BBE" w14:textId="287E0A84" w:rsidR="00EF2E73" w:rsidRPr="00C537A5" w:rsidRDefault="00D9196E" w:rsidP="00C537A5">
      <w:pPr>
        <w:tabs>
          <w:tab w:val="left" w:pos="-720"/>
        </w:tabs>
        <w:suppressAutoHyphens/>
        <w:spacing w:after="0" w:line="240" w:lineRule="auto"/>
        <w:jc w:val="both"/>
        <w:rPr>
          <w:rFonts w:ascii="Verdana" w:hAnsi="Verdana" w:cs="Arial"/>
          <w:b/>
          <w:spacing w:val="-3"/>
          <w:sz w:val="20"/>
          <w:szCs w:val="20"/>
        </w:rPr>
      </w:pPr>
      <w:r w:rsidRPr="00C537A5">
        <w:rPr>
          <w:rFonts w:ascii="Verdana" w:hAnsi="Verdana" w:cs="Arial"/>
          <w:b/>
          <w:spacing w:val="-3"/>
          <w:sz w:val="20"/>
          <w:szCs w:val="20"/>
        </w:rPr>
        <w:t>IDENTIFICACIÓN DE LOS PASIVOS</w:t>
      </w:r>
    </w:p>
    <w:p w14:paraId="7219E5F1" w14:textId="77777777" w:rsidR="00EF2E73" w:rsidRPr="00D9196E" w:rsidRDefault="00EF2E73" w:rsidP="00EF2E73">
      <w:pPr>
        <w:tabs>
          <w:tab w:val="left" w:pos="-720"/>
        </w:tabs>
        <w:suppressAutoHyphens/>
        <w:spacing w:after="0" w:line="240" w:lineRule="auto"/>
        <w:jc w:val="both"/>
        <w:rPr>
          <w:rFonts w:ascii="Verdana" w:hAnsi="Verdana" w:cs="Arial"/>
          <w:b/>
          <w:spacing w:val="-3"/>
          <w:sz w:val="20"/>
          <w:szCs w:val="20"/>
        </w:rPr>
      </w:pPr>
    </w:p>
    <w:p w14:paraId="568A7F7B" w14:textId="77777777" w:rsidR="00C537A5" w:rsidRDefault="00D9196E" w:rsidP="43C4F2FA">
      <w:pPr>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2.1.A1.2. </w:t>
      </w:r>
    </w:p>
    <w:p w14:paraId="66973A5F" w14:textId="677A3685" w:rsidR="00EF2E73" w:rsidRPr="00D9196E" w:rsidRDefault="00EF2E73" w:rsidP="43C4F2FA">
      <w:pPr>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Las entidades aseguradoras deben identificar los flujos futuros de pasivos, netos de las contingencias a cargo de reaseguradoras, del ramo correspondiente </w:t>
      </w:r>
      <w:r w:rsidR="00F86807" w:rsidRPr="00D9196E">
        <w:rPr>
          <w:rFonts w:ascii="Verdana" w:hAnsi="Verdana" w:cs="Arial"/>
          <w:spacing w:val="-3"/>
          <w:sz w:val="20"/>
          <w:szCs w:val="20"/>
        </w:rPr>
        <w:t xml:space="preserve">para el </w:t>
      </w:r>
      <w:r w:rsidRPr="00D9196E">
        <w:rPr>
          <w:rFonts w:ascii="Verdana" w:hAnsi="Verdana" w:cs="Arial"/>
          <w:spacing w:val="-3"/>
          <w:sz w:val="20"/>
          <w:szCs w:val="20"/>
        </w:rPr>
        <w:t>cálculo de la RIA</w:t>
      </w:r>
      <w:r w:rsidR="007E2314" w:rsidRPr="00D9196E">
        <w:rPr>
          <w:rFonts w:ascii="Verdana" w:hAnsi="Verdana" w:cs="Arial"/>
          <w:spacing w:val="-3"/>
          <w:sz w:val="20"/>
          <w:szCs w:val="20"/>
        </w:rPr>
        <w:t xml:space="preserve"> </w:t>
      </w:r>
      <w:r w:rsidR="00393471" w:rsidRPr="00D9196E">
        <w:rPr>
          <w:rFonts w:ascii="Verdana" w:hAnsi="Verdana" w:cs="Arial"/>
          <w:spacing w:val="-3"/>
          <w:sz w:val="20"/>
          <w:szCs w:val="20"/>
        </w:rPr>
        <w:t>que se debe calcular para cada ramo de seguros</w:t>
      </w:r>
      <w:r w:rsidRPr="00D9196E">
        <w:rPr>
          <w:rFonts w:ascii="Verdana" w:hAnsi="Verdana" w:cs="Arial"/>
          <w:spacing w:val="-3"/>
          <w:sz w:val="20"/>
          <w:szCs w:val="20"/>
        </w:rPr>
        <w:t>. Estos corresponden a los flujos futuros esperados de las pólizas emitidas de acuerdo con las notas técnicas depositadas en la S</w:t>
      </w:r>
      <w:r w:rsidR="00506296" w:rsidRPr="00D9196E">
        <w:rPr>
          <w:rFonts w:ascii="Verdana" w:hAnsi="Verdana" w:cs="Arial"/>
          <w:spacing w:val="-3"/>
          <w:sz w:val="20"/>
          <w:szCs w:val="20"/>
        </w:rPr>
        <w:t xml:space="preserve">uperintendencia </w:t>
      </w:r>
      <w:r w:rsidRPr="00D9196E">
        <w:rPr>
          <w:rFonts w:ascii="Verdana" w:hAnsi="Verdana" w:cs="Arial"/>
          <w:spacing w:val="-3"/>
          <w:sz w:val="20"/>
          <w:szCs w:val="20"/>
        </w:rPr>
        <w:t>F</w:t>
      </w:r>
      <w:r w:rsidR="00506296" w:rsidRPr="00D9196E">
        <w:rPr>
          <w:rFonts w:ascii="Verdana" w:hAnsi="Verdana" w:cs="Arial"/>
          <w:spacing w:val="-3"/>
          <w:sz w:val="20"/>
          <w:szCs w:val="20"/>
        </w:rPr>
        <w:t xml:space="preserve">inanciera de </w:t>
      </w:r>
      <w:r w:rsidRPr="00D9196E">
        <w:rPr>
          <w:rFonts w:ascii="Verdana" w:hAnsi="Verdana" w:cs="Arial"/>
          <w:spacing w:val="-3"/>
          <w:sz w:val="20"/>
          <w:szCs w:val="20"/>
        </w:rPr>
        <w:t>C</w:t>
      </w:r>
      <w:r w:rsidR="00506296" w:rsidRPr="00D9196E">
        <w:rPr>
          <w:rFonts w:ascii="Verdana" w:hAnsi="Verdana" w:cs="Arial"/>
          <w:spacing w:val="-3"/>
          <w:sz w:val="20"/>
          <w:szCs w:val="20"/>
        </w:rPr>
        <w:t>olombia (SFC)</w:t>
      </w:r>
      <w:r w:rsidRPr="00D9196E">
        <w:rPr>
          <w:rFonts w:ascii="Verdana" w:hAnsi="Verdana" w:cs="Arial"/>
          <w:spacing w:val="-3"/>
          <w:sz w:val="20"/>
          <w:szCs w:val="20"/>
        </w:rPr>
        <w:t xml:space="preserve"> para el cálculo de la reserva matemática de cada uno de los ramos.</w:t>
      </w:r>
    </w:p>
    <w:p w14:paraId="52A73709"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0EBA1954"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2.1.A1.3. </w:t>
      </w:r>
    </w:p>
    <w:p w14:paraId="73F73D04" w14:textId="1A49727E"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Para el ramo de vida individual los flujos de pasivos corresponden a los flujos futuros esperados de las pólizas emitidas, para lo cual las entidades aseguradoras podrán ajustar sus flujos de acuerdo con las estimaciones de renovaciones y terminaci</w:t>
      </w:r>
      <w:r w:rsidR="00EE1CAF" w:rsidRPr="00D9196E">
        <w:rPr>
          <w:rFonts w:ascii="Verdana" w:hAnsi="Verdana" w:cs="Arial"/>
          <w:spacing w:val="-3"/>
          <w:sz w:val="20"/>
          <w:szCs w:val="20"/>
        </w:rPr>
        <w:t xml:space="preserve">ón </w:t>
      </w:r>
      <w:r w:rsidRPr="00D9196E">
        <w:rPr>
          <w:rFonts w:ascii="Verdana" w:hAnsi="Verdana" w:cs="Arial"/>
          <w:spacing w:val="-3"/>
          <w:sz w:val="20"/>
          <w:szCs w:val="20"/>
        </w:rPr>
        <w:t>de los contratos de seguros. Las metodologías para estimar dichas renovaciones y terminaci</w:t>
      </w:r>
      <w:r w:rsidR="00EE1CAF" w:rsidRPr="00D9196E">
        <w:rPr>
          <w:rFonts w:ascii="Verdana" w:hAnsi="Verdana" w:cs="Arial"/>
          <w:spacing w:val="-3"/>
          <w:sz w:val="20"/>
          <w:szCs w:val="20"/>
        </w:rPr>
        <w:t>ón</w:t>
      </w:r>
      <w:r w:rsidRPr="00D9196E">
        <w:rPr>
          <w:rFonts w:ascii="Verdana" w:hAnsi="Verdana" w:cs="Arial"/>
          <w:spacing w:val="-3"/>
          <w:sz w:val="20"/>
          <w:szCs w:val="20"/>
        </w:rPr>
        <w:t xml:space="preserve"> </w:t>
      </w:r>
      <w:r w:rsidR="00EF4724" w:rsidRPr="00D9196E">
        <w:rPr>
          <w:rFonts w:ascii="Verdana" w:hAnsi="Verdana" w:cs="Arial"/>
          <w:spacing w:val="-3"/>
          <w:sz w:val="20"/>
          <w:szCs w:val="20"/>
        </w:rPr>
        <w:t xml:space="preserve">se deben mantener </w:t>
      </w:r>
      <w:r w:rsidRPr="00D9196E">
        <w:rPr>
          <w:rFonts w:ascii="Verdana" w:hAnsi="Verdana" w:cs="Arial"/>
          <w:spacing w:val="-3"/>
          <w:sz w:val="20"/>
          <w:szCs w:val="20"/>
        </w:rPr>
        <w:t>a disposición de la SFC.</w:t>
      </w:r>
    </w:p>
    <w:p w14:paraId="6EECC01B" w14:textId="77777777" w:rsidR="00EF2E73" w:rsidRPr="00D9196E" w:rsidRDefault="00EF2E73" w:rsidP="00EF2E73">
      <w:pPr>
        <w:tabs>
          <w:tab w:val="left" w:pos="-720"/>
        </w:tabs>
        <w:suppressAutoHyphens/>
        <w:spacing w:after="0" w:line="240" w:lineRule="auto"/>
        <w:jc w:val="both"/>
        <w:rPr>
          <w:rFonts w:ascii="Verdana" w:hAnsi="Verdana" w:cs="Arial"/>
          <w:b/>
          <w:bCs/>
          <w:spacing w:val="-3"/>
          <w:sz w:val="20"/>
          <w:szCs w:val="20"/>
        </w:rPr>
      </w:pPr>
    </w:p>
    <w:p w14:paraId="4FC82813" w14:textId="77777777" w:rsidR="00C537A5" w:rsidRDefault="00D9196E" w:rsidP="0056671C">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2.1.A1.4. </w:t>
      </w:r>
    </w:p>
    <w:p w14:paraId="0B92BD2E" w14:textId="146A5EEB" w:rsidR="00EF2E73" w:rsidRPr="00D9196E" w:rsidRDefault="00EF2E73" w:rsidP="0056671C">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Para el ramo de rentas voluntarias, las entidades aseguradoras podrán ajustar sus flujos de acuerdo con las estimaciones de retracto en los contratos de seguros de renta vitalicia inmobiliaria. Las metodologías para estimar dichos retractos </w:t>
      </w:r>
      <w:r w:rsidR="00EF4724" w:rsidRPr="00D9196E">
        <w:rPr>
          <w:rFonts w:ascii="Verdana" w:hAnsi="Verdana" w:cs="Arial"/>
          <w:spacing w:val="-3"/>
          <w:sz w:val="20"/>
          <w:szCs w:val="20"/>
        </w:rPr>
        <w:t xml:space="preserve">se </w:t>
      </w:r>
      <w:r w:rsidRPr="00D9196E">
        <w:rPr>
          <w:rFonts w:ascii="Verdana" w:hAnsi="Verdana" w:cs="Arial"/>
          <w:spacing w:val="-3"/>
          <w:sz w:val="20"/>
          <w:szCs w:val="20"/>
        </w:rPr>
        <w:t>debe</w:t>
      </w:r>
      <w:r w:rsidR="005D619E" w:rsidRPr="00D9196E">
        <w:rPr>
          <w:rFonts w:ascii="Verdana" w:hAnsi="Verdana" w:cs="Arial"/>
          <w:spacing w:val="-3"/>
          <w:sz w:val="20"/>
          <w:szCs w:val="20"/>
        </w:rPr>
        <w:t>n</w:t>
      </w:r>
      <w:r w:rsidR="00EF4724" w:rsidRPr="00D9196E">
        <w:rPr>
          <w:rFonts w:ascii="Verdana" w:hAnsi="Verdana" w:cs="Arial"/>
          <w:spacing w:val="-3"/>
          <w:sz w:val="20"/>
          <w:szCs w:val="20"/>
        </w:rPr>
        <w:t xml:space="preserve"> ma</w:t>
      </w:r>
      <w:r w:rsidRPr="00D9196E">
        <w:rPr>
          <w:rFonts w:ascii="Verdana" w:hAnsi="Verdana" w:cs="Arial"/>
          <w:spacing w:val="-3"/>
          <w:sz w:val="20"/>
          <w:szCs w:val="20"/>
        </w:rPr>
        <w:t>n</w:t>
      </w:r>
      <w:r w:rsidR="00EF4724" w:rsidRPr="00D9196E">
        <w:rPr>
          <w:rFonts w:ascii="Verdana" w:hAnsi="Verdana" w:cs="Arial"/>
          <w:spacing w:val="-3"/>
          <w:sz w:val="20"/>
          <w:szCs w:val="20"/>
        </w:rPr>
        <w:t xml:space="preserve">tener a </w:t>
      </w:r>
      <w:r w:rsidRPr="00D9196E">
        <w:rPr>
          <w:rFonts w:ascii="Verdana" w:hAnsi="Verdana" w:cs="Arial"/>
          <w:spacing w:val="-3"/>
          <w:sz w:val="20"/>
          <w:szCs w:val="20"/>
        </w:rPr>
        <w:t>disposición de la SFC</w:t>
      </w:r>
      <w:r w:rsidR="0056671C" w:rsidRPr="00D9196E">
        <w:rPr>
          <w:rFonts w:ascii="Verdana" w:hAnsi="Verdana" w:cs="Arial"/>
          <w:spacing w:val="-3"/>
          <w:sz w:val="20"/>
          <w:szCs w:val="20"/>
        </w:rPr>
        <w:t>.</w:t>
      </w:r>
    </w:p>
    <w:p w14:paraId="2DE1B384"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477EEBC0" w14:textId="742E4388" w:rsidR="00EF2E73" w:rsidRPr="00C537A5" w:rsidRDefault="00EF2E73" w:rsidP="00C537A5">
      <w:pPr>
        <w:tabs>
          <w:tab w:val="left" w:pos="-720"/>
        </w:tabs>
        <w:suppressAutoHyphens/>
        <w:spacing w:after="0" w:line="240" w:lineRule="auto"/>
        <w:jc w:val="both"/>
        <w:rPr>
          <w:rFonts w:ascii="Verdana" w:hAnsi="Verdana" w:cs="Arial"/>
          <w:b/>
          <w:spacing w:val="-3"/>
          <w:sz w:val="20"/>
          <w:szCs w:val="20"/>
        </w:rPr>
      </w:pPr>
      <w:r w:rsidRPr="00C537A5">
        <w:rPr>
          <w:rFonts w:ascii="Verdana" w:hAnsi="Verdana" w:cs="Arial"/>
          <w:b/>
          <w:spacing w:val="-3"/>
          <w:sz w:val="20"/>
          <w:szCs w:val="20"/>
        </w:rPr>
        <w:t>Tratamiento de los pasivos</w:t>
      </w:r>
    </w:p>
    <w:p w14:paraId="6B26F166" w14:textId="77777777" w:rsidR="00EF2E73" w:rsidRPr="00D9196E" w:rsidRDefault="00EF2E73" w:rsidP="004843D3">
      <w:pPr>
        <w:tabs>
          <w:tab w:val="left" w:pos="-720"/>
        </w:tabs>
        <w:suppressAutoHyphens/>
        <w:spacing w:after="0" w:line="240" w:lineRule="auto"/>
        <w:jc w:val="both"/>
        <w:rPr>
          <w:rFonts w:ascii="Verdana" w:hAnsi="Verdana" w:cs="Arial"/>
          <w:b/>
          <w:spacing w:val="-3"/>
          <w:sz w:val="20"/>
          <w:szCs w:val="20"/>
        </w:rPr>
      </w:pPr>
    </w:p>
    <w:p w14:paraId="0685365D"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2.1.A1.5. </w:t>
      </w:r>
    </w:p>
    <w:p w14:paraId="5007CF4A" w14:textId="0DF165B1"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Para cada ramo, los flujos futuros esperados de los pasivos se tomarán en pesos y en términos reales, para lo cual se deben proyectar los flujos sin inflación. Cuando se requiera deflactar los flujos se debe utilizar la tasa </w:t>
      </w:r>
      <w:r w:rsidRPr="00D9196E">
        <w:rPr>
          <w:rFonts w:ascii="Verdana" w:hAnsi="Verdana" w:cs="Arial"/>
          <w:i/>
          <w:iCs/>
          <w:spacing w:val="-3"/>
          <w:sz w:val="20"/>
          <w:szCs w:val="20"/>
        </w:rPr>
        <w:t xml:space="preserve">spot </w:t>
      </w:r>
      <w:r w:rsidRPr="00D9196E">
        <w:rPr>
          <w:rFonts w:ascii="Verdana" w:hAnsi="Verdana" w:cs="Arial"/>
          <w:spacing w:val="-3"/>
          <w:sz w:val="20"/>
          <w:szCs w:val="20"/>
        </w:rPr>
        <w:t xml:space="preserve">dada por el vector de inflación implícita </w:t>
      </w:r>
      <w:r w:rsidR="00797107" w:rsidRPr="00D9196E">
        <w:rPr>
          <w:rFonts w:ascii="Verdana" w:hAnsi="Verdana" w:cs="Arial"/>
          <w:spacing w:val="-3"/>
          <w:sz w:val="20"/>
          <w:szCs w:val="20"/>
        </w:rPr>
        <w:t xml:space="preserve">publicada por </w:t>
      </w:r>
      <w:r w:rsidRPr="00D9196E">
        <w:rPr>
          <w:rFonts w:ascii="Verdana" w:hAnsi="Verdana" w:cs="Arial"/>
          <w:spacing w:val="-3"/>
          <w:sz w:val="20"/>
          <w:szCs w:val="20"/>
        </w:rPr>
        <w:t xml:space="preserve">la SFC. Los flujos que no estén indexados a la inflación </w:t>
      </w:r>
      <w:r w:rsidR="00937D1B" w:rsidRPr="00D9196E">
        <w:rPr>
          <w:rFonts w:ascii="Verdana" w:hAnsi="Verdana" w:cs="Arial"/>
          <w:spacing w:val="-3"/>
          <w:sz w:val="20"/>
          <w:szCs w:val="20"/>
        </w:rPr>
        <w:t xml:space="preserve">se </w:t>
      </w:r>
      <w:r w:rsidRPr="00D9196E">
        <w:rPr>
          <w:rFonts w:ascii="Verdana" w:hAnsi="Verdana" w:cs="Arial"/>
          <w:spacing w:val="-3"/>
          <w:sz w:val="20"/>
          <w:szCs w:val="20"/>
        </w:rPr>
        <w:t>deben convertir a términos reales con base en dicho vector de inflación implícita.</w:t>
      </w:r>
      <w:r w:rsidR="00A74BF2" w:rsidRPr="00D9196E">
        <w:rPr>
          <w:rFonts w:ascii="Verdana" w:hAnsi="Verdana" w:cs="Arial"/>
          <w:spacing w:val="-3"/>
          <w:sz w:val="20"/>
          <w:szCs w:val="20"/>
        </w:rPr>
        <w:t xml:space="preserve"> </w:t>
      </w:r>
      <w:r w:rsidR="00C27B15" w:rsidRPr="00D9196E">
        <w:rPr>
          <w:rFonts w:ascii="Verdana" w:hAnsi="Verdana" w:cs="Arial"/>
          <w:spacing w:val="-3"/>
          <w:sz w:val="20"/>
          <w:szCs w:val="20"/>
        </w:rPr>
        <w:t xml:space="preserve">No obstante, </w:t>
      </w:r>
      <w:r w:rsidR="006C6F58" w:rsidRPr="00D9196E">
        <w:rPr>
          <w:rFonts w:ascii="Verdana" w:hAnsi="Verdana" w:cs="Arial"/>
          <w:spacing w:val="-3"/>
          <w:sz w:val="20"/>
          <w:szCs w:val="20"/>
        </w:rPr>
        <w:t>cada entidad</w:t>
      </w:r>
      <w:r w:rsidR="00C27B15" w:rsidRPr="00D9196E">
        <w:rPr>
          <w:rFonts w:ascii="Verdana" w:hAnsi="Verdana" w:cs="Arial"/>
          <w:spacing w:val="-3"/>
          <w:sz w:val="20"/>
          <w:szCs w:val="20"/>
        </w:rPr>
        <w:t xml:space="preserve"> podr</w:t>
      </w:r>
      <w:r w:rsidR="006C6F58" w:rsidRPr="00D9196E">
        <w:rPr>
          <w:rFonts w:ascii="Verdana" w:hAnsi="Verdana" w:cs="Arial"/>
          <w:spacing w:val="-3"/>
          <w:sz w:val="20"/>
          <w:szCs w:val="20"/>
        </w:rPr>
        <w:t>á</w:t>
      </w:r>
      <w:r w:rsidR="00C27B15" w:rsidRPr="00D9196E">
        <w:rPr>
          <w:rFonts w:ascii="Verdana" w:hAnsi="Verdana" w:cs="Arial"/>
          <w:spacing w:val="-3"/>
          <w:sz w:val="20"/>
          <w:szCs w:val="20"/>
        </w:rPr>
        <w:t xml:space="preserve"> emplear un vector de inflación propio con previa no objeción de la SFC</w:t>
      </w:r>
      <w:r w:rsidR="00F9105C" w:rsidRPr="00D9196E">
        <w:rPr>
          <w:rFonts w:ascii="Verdana" w:hAnsi="Verdana" w:cs="Arial"/>
          <w:spacing w:val="-3"/>
          <w:sz w:val="20"/>
          <w:szCs w:val="20"/>
        </w:rPr>
        <w:t xml:space="preserve"> en los términos </w:t>
      </w:r>
      <w:r w:rsidR="00107B82" w:rsidRPr="00D9196E">
        <w:rPr>
          <w:rFonts w:ascii="Verdana" w:hAnsi="Verdana" w:cs="Arial"/>
          <w:spacing w:val="-3"/>
          <w:sz w:val="20"/>
          <w:szCs w:val="20"/>
        </w:rPr>
        <w:t>previstos en el</w:t>
      </w:r>
      <w:r w:rsidR="00D9196E" w:rsidRPr="00D9196E">
        <w:rPr>
          <w:rFonts w:ascii="Verdana" w:hAnsi="Verdana" w:cs="Arial"/>
          <w:spacing w:val="-3"/>
          <w:sz w:val="20"/>
          <w:szCs w:val="20"/>
        </w:rPr>
        <w:t xml:space="preserve"> párrafo 2.3.5. y 2.3.6. del </w:t>
      </w:r>
      <w:r w:rsidR="00E6397C">
        <w:rPr>
          <w:rFonts w:ascii="Verdana" w:hAnsi="Verdana" w:cs="Arial"/>
          <w:spacing w:val="-3"/>
          <w:sz w:val="20"/>
          <w:szCs w:val="20"/>
        </w:rPr>
        <w:t>c</w:t>
      </w:r>
      <w:r w:rsidR="00D9196E" w:rsidRPr="00D9196E">
        <w:rPr>
          <w:rFonts w:ascii="Verdana" w:hAnsi="Verdana" w:cs="Arial"/>
          <w:spacing w:val="-3"/>
          <w:sz w:val="20"/>
          <w:szCs w:val="20"/>
        </w:rPr>
        <w:t xml:space="preserve">apítulo 3 de la </w:t>
      </w:r>
      <w:r w:rsidR="00E6397C">
        <w:rPr>
          <w:rFonts w:ascii="Verdana" w:hAnsi="Verdana" w:cs="Arial"/>
          <w:spacing w:val="-3"/>
          <w:sz w:val="20"/>
          <w:szCs w:val="20"/>
        </w:rPr>
        <w:t>p</w:t>
      </w:r>
      <w:r w:rsidR="00D9196E" w:rsidRPr="00D9196E">
        <w:rPr>
          <w:rFonts w:ascii="Verdana" w:hAnsi="Verdana" w:cs="Arial"/>
          <w:spacing w:val="-3"/>
          <w:sz w:val="20"/>
          <w:szCs w:val="20"/>
        </w:rPr>
        <w:t xml:space="preserve">arte 2 de la </w:t>
      </w:r>
      <w:r w:rsidR="00E6397C">
        <w:rPr>
          <w:rFonts w:ascii="Verdana" w:hAnsi="Verdana" w:cs="Arial"/>
          <w:spacing w:val="-3"/>
          <w:sz w:val="20"/>
          <w:szCs w:val="20"/>
        </w:rPr>
        <w:t xml:space="preserve">CBF. </w:t>
      </w:r>
    </w:p>
    <w:p w14:paraId="56A81FD3"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27D62B40"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2.1.A1.6. </w:t>
      </w:r>
    </w:p>
    <w:p w14:paraId="0AD9C89B" w14:textId="3F8336B2"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Los flujos que estén expresados en UVR </w:t>
      </w:r>
      <w:r w:rsidR="008F1AAA" w:rsidRPr="00D9196E">
        <w:rPr>
          <w:rFonts w:ascii="Verdana" w:hAnsi="Verdana" w:cs="Arial"/>
          <w:spacing w:val="-3"/>
          <w:sz w:val="20"/>
          <w:szCs w:val="20"/>
        </w:rPr>
        <w:t xml:space="preserve">se </w:t>
      </w:r>
      <w:r w:rsidRPr="00D9196E">
        <w:rPr>
          <w:rFonts w:ascii="Verdana" w:hAnsi="Verdana" w:cs="Arial"/>
          <w:spacing w:val="-3"/>
          <w:sz w:val="20"/>
          <w:szCs w:val="20"/>
        </w:rPr>
        <w:t>deben converti</w:t>
      </w:r>
      <w:r w:rsidR="008F1AAA" w:rsidRPr="00D9196E">
        <w:rPr>
          <w:rFonts w:ascii="Verdana" w:hAnsi="Verdana" w:cs="Arial"/>
          <w:spacing w:val="-3"/>
          <w:sz w:val="20"/>
          <w:szCs w:val="20"/>
        </w:rPr>
        <w:t xml:space="preserve">r </w:t>
      </w:r>
      <w:r w:rsidRPr="00D9196E">
        <w:rPr>
          <w:rFonts w:ascii="Verdana" w:hAnsi="Verdana" w:cs="Arial"/>
          <w:spacing w:val="-3"/>
          <w:sz w:val="20"/>
          <w:szCs w:val="20"/>
        </w:rPr>
        <w:t>a pesos, proyectando la UVR con base en la inflación implícita</w:t>
      </w:r>
      <w:r w:rsidR="002642C1" w:rsidRPr="00D9196E">
        <w:rPr>
          <w:rFonts w:ascii="Verdana" w:hAnsi="Verdana" w:cs="Arial"/>
          <w:spacing w:val="-3"/>
          <w:sz w:val="20"/>
          <w:szCs w:val="20"/>
        </w:rPr>
        <w:t>,</w:t>
      </w:r>
      <w:r w:rsidRPr="00D9196E">
        <w:rPr>
          <w:rFonts w:ascii="Verdana" w:hAnsi="Verdana" w:cs="Arial"/>
          <w:spacing w:val="-3"/>
          <w:sz w:val="20"/>
          <w:szCs w:val="20"/>
        </w:rPr>
        <w:t xml:space="preserve"> y los flujos en moneda extranjera se </w:t>
      </w:r>
      <w:r w:rsidR="00817C60" w:rsidRPr="00D9196E">
        <w:rPr>
          <w:rFonts w:ascii="Verdana" w:hAnsi="Verdana" w:cs="Arial"/>
          <w:spacing w:val="-3"/>
          <w:sz w:val="20"/>
          <w:szCs w:val="20"/>
        </w:rPr>
        <w:t xml:space="preserve">deben </w:t>
      </w:r>
      <w:r w:rsidRPr="00D9196E">
        <w:rPr>
          <w:rFonts w:ascii="Verdana" w:hAnsi="Verdana" w:cs="Arial"/>
          <w:spacing w:val="-3"/>
          <w:sz w:val="20"/>
          <w:szCs w:val="20"/>
        </w:rPr>
        <w:t>convertir</w:t>
      </w:r>
      <w:r w:rsidR="00817C60" w:rsidRPr="00D9196E">
        <w:rPr>
          <w:rFonts w:ascii="Verdana" w:hAnsi="Verdana" w:cs="Arial"/>
          <w:spacing w:val="-3"/>
          <w:sz w:val="20"/>
          <w:szCs w:val="20"/>
        </w:rPr>
        <w:t xml:space="preserve"> </w:t>
      </w:r>
      <w:r w:rsidRPr="00D9196E">
        <w:rPr>
          <w:rFonts w:ascii="Verdana" w:hAnsi="Verdana" w:cs="Arial"/>
          <w:spacing w:val="-3"/>
          <w:sz w:val="20"/>
          <w:szCs w:val="20"/>
        </w:rPr>
        <w:t>a pesos tomando la tasa de cambio del último día calendario del trimestre de cálculo.</w:t>
      </w:r>
    </w:p>
    <w:p w14:paraId="5FF1ABD0"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3BEAAD52"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2.1.A1.7. </w:t>
      </w:r>
    </w:p>
    <w:p w14:paraId="55592BAB" w14:textId="5E45EEE5"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Los flujos de títulos indexados a una tasa variable </w:t>
      </w:r>
      <w:r w:rsidR="00817C60" w:rsidRPr="00D9196E">
        <w:rPr>
          <w:rFonts w:ascii="Verdana" w:hAnsi="Verdana" w:cs="Arial"/>
          <w:spacing w:val="-3"/>
          <w:sz w:val="20"/>
          <w:szCs w:val="20"/>
        </w:rPr>
        <w:t xml:space="preserve">se </w:t>
      </w:r>
      <w:r w:rsidRPr="00D9196E">
        <w:rPr>
          <w:rFonts w:ascii="Verdana" w:hAnsi="Verdana" w:cs="Arial"/>
          <w:spacing w:val="-3"/>
          <w:sz w:val="20"/>
          <w:szCs w:val="20"/>
        </w:rPr>
        <w:t>deben proyectar</w:t>
      </w:r>
      <w:r w:rsidR="00817C60" w:rsidRPr="00D9196E">
        <w:rPr>
          <w:rFonts w:ascii="Verdana" w:hAnsi="Verdana" w:cs="Arial"/>
          <w:spacing w:val="-3"/>
          <w:sz w:val="20"/>
          <w:szCs w:val="20"/>
        </w:rPr>
        <w:t xml:space="preserve"> </w:t>
      </w:r>
      <w:r w:rsidRPr="00D9196E">
        <w:rPr>
          <w:rFonts w:ascii="Verdana" w:hAnsi="Verdana" w:cs="Arial"/>
          <w:spacing w:val="-3"/>
          <w:sz w:val="20"/>
          <w:szCs w:val="20"/>
        </w:rPr>
        <w:t>con base en el valor de dicha tasa</w:t>
      </w:r>
      <w:r w:rsidR="00EE0D93" w:rsidRPr="00D9196E">
        <w:rPr>
          <w:rFonts w:ascii="Verdana" w:hAnsi="Verdana" w:cs="Arial"/>
          <w:spacing w:val="-3"/>
          <w:sz w:val="20"/>
          <w:szCs w:val="20"/>
        </w:rPr>
        <w:t>,</w:t>
      </w:r>
      <w:r w:rsidR="00544602" w:rsidRPr="00D9196E">
        <w:rPr>
          <w:rFonts w:ascii="Verdana" w:hAnsi="Verdana" w:cs="Arial"/>
          <w:spacing w:val="-3"/>
          <w:sz w:val="20"/>
          <w:szCs w:val="20"/>
        </w:rPr>
        <w:t xml:space="preserve"> </w:t>
      </w:r>
      <w:r w:rsidRPr="00D9196E">
        <w:rPr>
          <w:rFonts w:ascii="Verdana" w:hAnsi="Verdana" w:cs="Arial"/>
          <w:spacing w:val="-3"/>
          <w:sz w:val="20"/>
          <w:szCs w:val="20"/>
        </w:rPr>
        <w:t>aplicable al último día calendario del trimestre de cálculo.</w:t>
      </w:r>
    </w:p>
    <w:p w14:paraId="695AF048"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646E82D2"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7D495D54"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2B4B63F9"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6D0420C3"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17121295" w14:textId="06470128" w:rsidR="00EF2E73" w:rsidRPr="00C537A5" w:rsidRDefault="00D9196E" w:rsidP="00C537A5">
      <w:pPr>
        <w:tabs>
          <w:tab w:val="left" w:pos="-720"/>
        </w:tabs>
        <w:suppressAutoHyphens/>
        <w:spacing w:after="0" w:line="240" w:lineRule="auto"/>
        <w:jc w:val="both"/>
        <w:rPr>
          <w:rFonts w:ascii="Verdana" w:hAnsi="Verdana" w:cs="Arial"/>
          <w:b/>
          <w:spacing w:val="-3"/>
          <w:sz w:val="20"/>
          <w:szCs w:val="20"/>
        </w:rPr>
      </w:pPr>
      <w:r w:rsidRPr="00C537A5">
        <w:rPr>
          <w:rFonts w:ascii="Verdana" w:hAnsi="Verdana" w:cs="Arial"/>
          <w:b/>
          <w:spacing w:val="-3"/>
          <w:sz w:val="20"/>
          <w:szCs w:val="20"/>
        </w:rPr>
        <w:lastRenderedPageBreak/>
        <w:t>IDENTIFICACIÓN DE LOS ACTIVOS</w:t>
      </w:r>
    </w:p>
    <w:p w14:paraId="2B5FA649" w14:textId="77777777" w:rsidR="00EF2E73" w:rsidRPr="00D9196E" w:rsidRDefault="00EF2E73" w:rsidP="00EF2E73">
      <w:pPr>
        <w:tabs>
          <w:tab w:val="left" w:pos="-720"/>
        </w:tabs>
        <w:suppressAutoHyphens/>
        <w:spacing w:after="0" w:line="240" w:lineRule="auto"/>
        <w:jc w:val="both"/>
        <w:rPr>
          <w:rFonts w:ascii="Verdana" w:hAnsi="Verdana" w:cs="Arial"/>
          <w:b/>
          <w:spacing w:val="-3"/>
          <w:sz w:val="20"/>
          <w:szCs w:val="20"/>
        </w:rPr>
      </w:pPr>
    </w:p>
    <w:p w14:paraId="0C03BA3A" w14:textId="77777777" w:rsidR="00C537A5" w:rsidRDefault="00D9196E" w:rsidP="43C4F2FA">
      <w:pPr>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2.1.A1.8. </w:t>
      </w:r>
    </w:p>
    <w:p w14:paraId="0F7B154A" w14:textId="3507EC5F" w:rsidR="00EF2E73" w:rsidRPr="00D9196E" w:rsidRDefault="00EF2E73" w:rsidP="43C4F2FA">
      <w:pPr>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Las entidades aseguradoras deben identificar los flujos futuros de los activos que respaldan la reserva matemática</w:t>
      </w:r>
      <w:r w:rsidR="00BF37DC" w:rsidRPr="00D9196E">
        <w:rPr>
          <w:rFonts w:ascii="Verdana" w:hAnsi="Verdana" w:cs="Arial"/>
          <w:spacing w:val="-3"/>
          <w:sz w:val="20"/>
          <w:szCs w:val="20"/>
        </w:rPr>
        <w:t xml:space="preserve"> y </w:t>
      </w:r>
      <w:r w:rsidRPr="00D9196E">
        <w:rPr>
          <w:rFonts w:ascii="Verdana" w:hAnsi="Verdana" w:cs="Arial"/>
          <w:spacing w:val="-3"/>
          <w:sz w:val="20"/>
          <w:szCs w:val="20"/>
        </w:rPr>
        <w:t>aquellos que respaldan la RIA del ramo correspondiente. Para cada ramo, los flujos de activos serán los flujos de las inversiones admisibles de las reservas técnicas establecidas en el artículo 2.31.3.1.2 del Decreto 2555 de 2010 que respaldan las reservas mencionadas.</w:t>
      </w:r>
    </w:p>
    <w:p w14:paraId="4709A4D8" w14:textId="77777777" w:rsidR="00C537A5" w:rsidRDefault="00C537A5" w:rsidP="00C537A5">
      <w:pPr>
        <w:tabs>
          <w:tab w:val="left" w:pos="-720"/>
        </w:tabs>
        <w:suppressAutoHyphens/>
        <w:spacing w:after="0" w:line="240" w:lineRule="auto"/>
        <w:jc w:val="both"/>
        <w:rPr>
          <w:rFonts w:ascii="Verdana" w:hAnsi="Verdana" w:cs="Arial"/>
          <w:b/>
          <w:spacing w:val="-3"/>
          <w:sz w:val="20"/>
          <w:szCs w:val="20"/>
        </w:rPr>
      </w:pPr>
    </w:p>
    <w:p w14:paraId="2DD3A398" w14:textId="2DB9AC09" w:rsidR="00EF2E73" w:rsidRPr="00C537A5" w:rsidRDefault="00EF2E73" w:rsidP="00C537A5">
      <w:pPr>
        <w:tabs>
          <w:tab w:val="left" w:pos="-720"/>
        </w:tabs>
        <w:suppressAutoHyphens/>
        <w:spacing w:after="0" w:line="240" w:lineRule="auto"/>
        <w:jc w:val="both"/>
        <w:rPr>
          <w:rFonts w:ascii="Verdana" w:hAnsi="Verdana" w:cs="Arial"/>
          <w:b/>
          <w:spacing w:val="-3"/>
          <w:sz w:val="20"/>
          <w:szCs w:val="20"/>
        </w:rPr>
      </w:pPr>
      <w:r w:rsidRPr="00C537A5">
        <w:rPr>
          <w:rFonts w:ascii="Verdana" w:hAnsi="Verdana" w:cs="Arial"/>
          <w:b/>
          <w:spacing w:val="-3"/>
          <w:sz w:val="20"/>
          <w:szCs w:val="20"/>
        </w:rPr>
        <w:t>Tratamiento de los activos</w:t>
      </w:r>
    </w:p>
    <w:p w14:paraId="2B37BD16" w14:textId="77777777" w:rsidR="00EF2E73" w:rsidRPr="00D9196E" w:rsidRDefault="00EF2E73" w:rsidP="00EF2E73">
      <w:pPr>
        <w:tabs>
          <w:tab w:val="left" w:pos="-720"/>
        </w:tabs>
        <w:suppressAutoHyphens/>
        <w:spacing w:after="0" w:line="240" w:lineRule="auto"/>
        <w:jc w:val="both"/>
        <w:rPr>
          <w:rFonts w:ascii="Verdana" w:hAnsi="Verdana" w:cs="Arial"/>
          <w:b/>
          <w:spacing w:val="-3"/>
          <w:sz w:val="20"/>
          <w:szCs w:val="20"/>
        </w:rPr>
      </w:pPr>
    </w:p>
    <w:p w14:paraId="15B5F6BF"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2.1.A1.9. </w:t>
      </w:r>
    </w:p>
    <w:p w14:paraId="3F534C2D" w14:textId="56170046" w:rsidR="00EE0D9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Para cada ramo, los flujos futuros de los activos se tomarán en pesos y en términos reales, para lo cual se deben proyectar los flujos sin inflación. Cuando se requiera deflactar los flujos se debe utilizar la tasa </w:t>
      </w:r>
      <w:r w:rsidRPr="00D9196E">
        <w:rPr>
          <w:rFonts w:ascii="Verdana" w:hAnsi="Verdana" w:cs="Arial"/>
          <w:i/>
          <w:iCs/>
          <w:spacing w:val="-3"/>
          <w:sz w:val="20"/>
          <w:szCs w:val="20"/>
        </w:rPr>
        <w:t>spot</w:t>
      </w:r>
      <w:r w:rsidRPr="00D9196E">
        <w:rPr>
          <w:rFonts w:ascii="Verdana" w:hAnsi="Verdana" w:cs="Arial"/>
          <w:spacing w:val="-3"/>
          <w:sz w:val="20"/>
          <w:szCs w:val="20"/>
        </w:rPr>
        <w:t xml:space="preserve"> dada por el vector de inflación implícita </w:t>
      </w:r>
      <w:r w:rsidR="009F0D5F" w:rsidRPr="00D9196E">
        <w:rPr>
          <w:rFonts w:ascii="Verdana" w:hAnsi="Verdana" w:cs="Arial"/>
          <w:spacing w:val="-3"/>
          <w:sz w:val="20"/>
          <w:szCs w:val="20"/>
        </w:rPr>
        <w:t xml:space="preserve">publicada por </w:t>
      </w:r>
      <w:r w:rsidRPr="00D9196E">
        <w:rPr>
          <w:rFonts w:ascii="Verdana" w:hAnsi="Verdana" w:cs="Arial"/>
          <w:spacing w:val="-3"/>
          <w:sz w:val="20"/>
          <w:szCs w:val="20"/>
        </w:rPr>
        <w:t>la SFC</w:t>
      </w:r>
      <w:r w:rsidR="009B0448" w:rsidRPr="00D9196E">
        <w:rPr>
          <w:rFonts w:ascii="Verdana" w:hAnsi="Verdana" w:cs="Arial"/>
          <w:spacing w:val="-3"/>
          <w:sz w:val="20"/>
          <w:szCs w:val="20"/>
        </w:rPr>
        <w:t xml:space="preserve"> o el vector </w:t>
      </w:r>
      <w:r w:rsidR="007A6BC5" w:rsidRPr="00D9196E">
        <w:rPr>
          <w:rFonts w:ascii="Verdana" w:hAnsi="Verdana" w:cs="Arial"/>
          <w:spacing w:val="-3"/>
          <w:sz w:val="20"/>
          <w:szCs w:val="20"/>
        </w:rPr>
        <w:t>de inflación propio con previa no objeción de la SFC que presente la entidad</w:t>
      </w:r>
      <w:r w:rsidR="00D73FFF" w:rsidRPr="00D9196E">
        <w:rPr>
          <w:rFonts w:ascii="Verdana" w:hAnsi="Verdana" w:cs="Arial"/>
          <w:spacing w:val="-3"/>
          <w:sz w:val="20"/>
          <w:szCs w:val="20"/>
        </w:rPr>
        <w:t xml:space="preserve">, en los términos previstos </w:t>
      </w:r>
      <w:r w:rsidR="00D9196E" w:rsidRPr="00D9196E">
        <w:rPr>
          <w:rFonts w:ascii="Verdana" w:hAnsi="Verdana" w:cs="Arial"/>
          <w:spacing w:val="-3"/>
          <w:sz w:val="20"/>
          <w:szCs w:val="20"/>
        </w:rPr>
        <w:t xml:space="preserve">en el párrafo 2.3.5. y 2.3.6. del </w:t>
      </w:r>
      <w:r w:rsidR="00DB0125">
        <w:rPr>
          <w:rFonts w:ascii="Verdana" w:hAnsi="Verdana" w:cs="Arial"/>
          <w:spacing w:val="-3"/>
          <w:sz w:val="20"/>
          <w:szCs w:val="20"/>
        </w:rPr>
        <w:t>c</w:t>
      </w:r>
      <w:r w:rsidR="00D9196E" w:rsidRPr="00D9196E">
        <w:rPr>
          <w:rFonts w:ascii="Verdana" w:hAnsi="Verdana" w:cs="Arial"/>
          <w:spacing w:val="-3"/>
          <w:sz w:val="20"/>
          <w:szCs w:val="20"/>
        </w:rPr>
        <w:t xml:space="preserve">apítulo 3 de la </w:t>
      </w:r>
      <w:r w:rsidR="00DB0125">
        <w:rPr>
          <w:rFonts w:ascii="Verdana" w:hAnsi="Verdana" w:cs="Arial"/>
          <w:spacing w:val="-3"/>
          <w:sz w:val="20"/>
          <w:szCs w:val="20"/>
        </w:rPr>
        <w:t>p</w:t>
      </w:r>
      <w:r w:rsidR="00D9196E" w:rsidRPr="00D9196E">
        <w:rPr>
          <w:rFonts w:ascii="Verdana" w:hAnsi="Verdana" w:cs="Arial"/>
          <w:spacing w:val="-3"/>
          <w:sz w:val="20"/>
          <w:szCs w:val="20"/>
        </w:rPr>
        <w:t>arte 2 de la C</w:t>
      </w:r>
      <w:r w:rsidR="00DB0125">
        <w:rPr>
          <w:rFonts w:ascii="Verdana" w:hAnsi="Verdana" w:cs="Arial"/>
          <w:spacing w:val="-3"/>
          <w:sz w:val="20"/>
          <w:szCs w:val="20"/>
        </w:rPr>
        <w:t>B</w:t>
      </w:r>
      <w:r w:rsidR="00D9196E" w:rsidRPr="00D9196E">
        <w:rPr>
          <w:rFonts w:ascii="Verdana" w:hAnsi="Verdana" w:cs="Arial"/>
          <w:spacing w:val="-3"/>
          <w:sz w:val="20"/>
          <w:szCs w:val="20"/>
        </w:rPr>
        <w:t xml:space="preserve">F </w:t>
      </w:r>
      <w:r w:rsidRPr="00D9196E">
        <w:rPr>
          <w:rFonts w:ascii="Verdana" w:hAnsi="Verdana" w:cs="Arial"/>
          <w:spacing w:val="-3"/>
          <w:sz w:val="20"/>
          <w:szCs w:val="20"/>
        </w:rPr>
        <w:t xml:space="preserve">Los flujos que no estén indexados a la inflación </w:t>
      </w:r>
      <w:r w:rsidR="00FA7D25" w:rsidRPr="00D9196E">
        <w:rPr>
          <w:rFonts w:ascii="Verdana" w:hAnsi="Verdana" w:cs="Arial"/>
          <w:spacing w:val="-3"/>
          <w:sz w:val="20"/>
          <w:szCs w:val="20"/>
        </w:rPr>
        <w:t xml:space="preserve">se </w:t>
      </w:r>
      <w:r w:rsidRPr="00D9196E">
        <w:rPr>
          <w:rFonts w:ascii="Verdana" w:hAnsi="Verdana" w:cs="Arial"/>
          <w:spacing w:val="-3"/>
          <w:sz w:val="20"/>
          <w:szCs w:val="20"/>
        </w:rPr>
        <w:t>deben converti</w:t>
      </w:r>
      <w:r w:rsidR="00FA7D25" w:rsidRPr="00D9196E">
        <w:rPr>
          <w:rFonts w:ascii="Verdana" w:hAnsi="Verdana" w:cs="Arial"/>
          <w:spacing w:val="-3"/>
          <w:sz w:val="20"/>
          <w:szCs w:val="20"/>
        </w:rPr>
        <w:t xml:space="preserve">r </w:t>
      </w:r>
      <w:r w:rsidR="006543D6" w:rsidRPr="00D9196E">
        <w:rPr>
          <w:rFonts w:ascii="Verdana" w:hAnsi="Verdana" w:cs="Arial"/>
          <w:spacing w:val="-3"/>
          <w:sz w:val="20"/>
          <w:szCs w:val="20"/>
        </w:rPr>
        <w:t xml:space="preserve">en </w:t>
      </w:r>
      <w:r w:rsidRPr="00D9196E">
        <w:rPr>
          <w:rFonts w:ascii="Verdana" w:hAnsi="Verdana" w:cs="Arial"/>
          <w:spacing w:val="-3"/>
          <w:sz w:val="20"/>
          <w:szCs w:val="20"/>
        </w:rPr>
        <w:t xml:space="preserve">términos reales con base en el vector de inflación implícita. </w:t>
      </w:r>
    </w:p>
    <w:p w14:paraId="47728E05" w14:textId="77777777" w:rsidR="00EE0D93" w:rsidRPr="00D9196E" w:rsidRDefault="00EE0D93" w:rsidP="00EF2E73">
      <w:pPr>
        <w:tabs>
          <w:tab w:val="left" w:pos="-720"/>
        </w:tabs>
        <w:suppressAutoHyphens/>
        <w:spacing w:after="0" w:line="240" w:lineRule="auto"/>
        <w:jc w:val="both"/>
        <w:rPr>
          <w:rFonts w:ascii="Verdana" w:hAnsi="Verdana" w:cs="Arial"/>
          <w:spacing w:val="-3"/>
          <w:sz w:val="20"/>
          <w:szCs w:val="20"/>
        </w:rPr>
      </w:pPr>
    </w:p>
    <w:p w14:paraId="0B065B5D"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2.1.A1.10. </w:t>
      </w:r>
    </w:p>
    <w:p w14:paraId="145DB7AE" w14:textId="00C7C612"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Siguiendo lo anterior, los flujos que estén en términos de UVR se </w:t>
      </w:r>
      <w:r w:rsidR="006543D6" w:rsidRPr="00D9196E">
        <w:rPr>
          <w:rFonts w:ascii="Verdana" w:hAnsi="Verdana" w:cs="Arial"/>
          <w:spacing w:val="-3"/>
          <w:sz w:val="20"/>
          <w:szCs w:val="20"/>
        </w:rPr>
        <w:t xml:space="preserve">deben </w:t>
      </w:r>
      <w:r w:rsidRPr="00D9196E">
        <w:rPr>
          <w:rFonts w:ascii="Verdana" w:hAnsi="Verdana" w:cs="Arial"/>
          <w:spacing w:val="-3"/>
          <w:sz w:val="20"/>
          <w:szCs w:val="20"/>
        </w:rPr>
        <w:t xml:space="preserve">convertir a pesos en términos reales, con base en la UVR de la fecha de corte de la información de los activos. Los flujos en moneda extranjera se </w:t>
      </w:r>
      <w:r w:rsidR="00C66307" w:rsidRPr="00D9196E">
        <w:rPr>
          <w:rFonts w:ascii="Verdana" w:hAnsi="Verdana" w:cs="Arial"/>
          <w:spacing w:val="-3"/>
          <w:sz w:val="20"/>
          <w:szCs w:val="20"/>
        </w:rPr>
        <w:t xml:space="preserve">deben </w:t>
      </w:r>
      <w:r w:rsidRPr="00D9196E">
        <w:rPr>
          <w:rFonts w:ascii="Verdana" w:hAnsi="Verdana" w:cs="Arial"/>
          <w:spacing w:val="-3"/>
          <w:sz w:val="20"/>
          <w:szCs w:val="20"/>
        </w:rPr>
        <w:t>convertir</w:t>
      </w:r>
      <w:r w:rsidR="00C66307" w:rsidRPr="00D9196E">
        <w:rPr>
          <w:rFonts w:ascii="Verdana" w:hAnsi="Verdana" w:cs="Arial"/>
          <w:spacing w:val="-3"/>
          <w:sz w:val="20"/>
          <w:szCs w:val="20"/>
        </w:rPr>
        <w:t xml:space="preserve"> </w:t>
      </w:r>
      <w:r w:rsidRPr="00D9196E">
        <w:rPr>
          <w:rFonts w:ascii="Verdana" w:hAnsi="Verdana" w:cs="Arial"/>
          <w:spacing w:val="-3"/>
          <w:sz w:val="20"/>
          <w:szCs w:val="20"/>
        </w:rPr>
        <w:t>a pesos</w:t>
      </w:r>
      <w:r w:rsidR="00C66307" w:rsidRPr="00D9196E">
        <w:rPr>
          <w:rFonts w:ascii="Verdana" w:hAnsi="Verdana" w:cs="Arial"/>
          <w:spacing w:val="-3"/>
          <w:sz w:val="20"/>
          <w:szCs w:val="20"/>
        </w:rPr>
        <w:t xml:space="preserve"> </w:t>
      </w:r>
      <w:r w:rsidRPr="00D9196E">
        <w:rPr>
          <w:rFonts w:ascii="Verdana" w:hAnsi="Verdana" w:cs="Arial"/>
          <w:spacing w:val="-3"/>
          <w:sz w:val="20"/>
          <w:szCs w:val="20"/>
        </w:rPr>
        <w:t>tomando la tasa de cambio de la fecha de corte de la información de los activos.</w:t>
      </w:r>
    </w:p>
    <w:p w14:paraId="6A5C5B03"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23C40CCE"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2.1.A1.11. </w:t>
      </w:r>
    </w:p>
    <w:p w14:paraId="741C62E5" w14:textId="0DEBA275"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Los flujos de títulos indexados a una tasa variable </w:t>
      </w:r>
      <w:r w:rsidR="0022290E" w:rsidRPr="00D9196E">
        <w:rPr>
          <w:rFonts w:ascii="Verdana" w:hAnsi="Verdana" w:cs="Arial"/>
          <w:spacing w:val="-3"/>
          <w:sz w:val="20"/>
          <w:szCs w:val="20"/>
        </w:rPr>
        <w:t xml:space="preserve">se </w:t>
      </w:r>
      <w:r w:rsidRPr="00D9196E">
        <w:rPr>
          <w:rFonts w:ascii="Verdana" w:hAnsi="Verdana" w:cs="Arial"/>
          <w:spacing w:val="-3"/>
          <w:sz w:val="20"/>
          <w:szCs w:val="20"/>
        </w:rPr>
        <w:t>deben proyectar</w:t>
      </w:r>
      <w:r w:rsidR="0022290E" w:rsidRPr="00D9196E">
        <w:rPr>
          <w:rFonts w:ascii="Verdana" w:hAnsi="Verdana" w:cs="Arial"/>
          <w:spacing w:val="-3"/>
          <w:sz w:val="20"/>
          <w:szCs w:val="20"/>
        </w:rPr>
        <w:t xml:space="preserve"> </w:t>
      </w:r>
      <w:r w:rsidRPr="00D9196E">
        <w:rPr>
          <w:rFonts w:ascii="Verdana" w:hAnsi="Verdana" w:cs="Arial"/>
          <w:spacing w:val="-3"/>
          <w:sz w:val="20"/>
          <w:szCs w:val="20"/>
        </w:rPr>
        <w:t>con base en el valor de dicha tasa, aplicable a la fecha de corte de la información de los activos.</w:t>
      </w:r>
    </w:p>
    <w:p w14:paraId="000ADF1C"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37977258"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2.1.A1.12. </w:t>
      </w:r>
    </w:p>
    <w:p w14:paraId="3C1DE8A6" w14:textId="332BEFB3"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La fecha de corte de la información de los activos corresponde al mes siguiente al corte trimestral de los pasivos. Por ejemplo, en el corte de los pasivos de marzo, se debe tomar </w:t>
      </w:r>
      <w:r w:rsidR="00066755" w:rsidRPr="00D9196E">
        <w:rPr>
          <w:rFonts w:ascii="Verdana" w:hAnsi="Verdana" w:cs="Arial"/>
          <w:spacing w:val="-3"/>
          <w:sz w:val="20"/>
          <w:szCs w:val="20"/>
        </w:rPr>
        <w:t xml:space="preserve">la información del mes de </w:t>
      </w:r>
      <w:r w:rsidRPr="00D9196E">
        <w:rPr>
          <w:rFonts w:ascii="Verdana" w:hAnsi="Verdana" w:cs="Arial"/>
          <w:spacing w:val="-3"/>
          <w:sz w:val="20"/>
          <w:szCs w:val="20"/>
        </w:rPr>
        <w:t>abril como fecha de corte de información de los activos.</w:t>
      </w:r>
    </w:p>
    <w:p w14:paraId="6272F9FA"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512B2EE0"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2.1.A1.13. </w:t>
      </w:r>
    </w:p>
    <w:p w14:paraId="6FECD2D8" w14:textId="480A60AA"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Los activos se clasificarán según se conozcan o no los flujos futuros derivados de los mismos. Se considera que los flujos futuros son conocidos cuando son determinados o determinables contractualmente desde el momento en que se calcula la RIA. Los flujos de los activos </w:t>
      </w:r>
      <w:r w:rsidR="004B449D" w:rsidRPr="00D9196E">
        <w:rPr>
          <w:rFonts w:ascii="Verdana" w:hAnsi="Verdana" w:cs="Arial"/>
          <w:spacing w:val="-3"/>
          <w:sz w:val="20"/>
          <w:szCs w:val="20"/>
        </w:rPr>
        <w:t xml:space="preserve">se </w:t>
      </w:r>
      <w:r w:rsidRPr="00D9196E">
        <w:rPr>
          <w:rFonts w:ascii="Verdana" w:hAnsi="Verdana" w:cs="Arial"/>
          <w:spacing w:val="-3"/>
          <w:sz w:val="20"/>
          <w:szCs w:val="20"/>
        </w:rPr>
        <w:t xml:space="preserve">deben proyectar netos de coberturas realizadas mediante instrumentos derivados (incluyendo </w:t>
      </w:r>
      <w:r w:rsidRPr="00D9196E">
        <w:rPr>
          <w:rFonts w:ascii="Verdana" w:hAnsi="Verdana" w:cs="Arial"/>
          <w:i/>
          <w:iCs/>
          <w:spacing w:val="-3"/>
          <w:sz w:val="20"/>
          <w:szCs w:val="20"/>
        </w:rPr>
        <w:t>swaps</w:t>
      </w:r>
      <w:r w:rsidRPr="00D9196E">
        <w:rPr>
          <w:rFonts w:ascii="Verdana" w:hAnsi="Verdana" w:cs="Arial"/>
          <w:spacing w:val="-3"/>
          <w:sz w:val="20"/>
          <w:szCs w:val="20"/>
        </w:rPr>
        <w:t>).</w:t>
      </w:r>
    </w:p>
    <w:p w14:paraId="6B619F4D"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4EAAF5E4"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2.1.A1.14. </w:t>
      </w:r>
    </w:p>
    <w:p w14:paraId="1B295079" w14:textId="00B22E68"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A continuación, se </w:t>
      </w:r>
      <w:r w:rsidR="007D0936" w:rsidRPr="00D9196E">
        <w:rPr>
          <w:rFonts w:ascii="Verdana" w:hAnsi="Verdana" w:cs="Arial"/>
          <w:spacing w:val="-3"/>
          <w:sz w:val="20"/>
          <w:szCs w:val="20"/>
        </w:rPr>
        <w:t xml:space="preserve">presenta la </w:t>
      </w:r>
      <w:r w:rsidRPr="00D9196E">
        <w:rPr>
          <w:rFonts w:ascii="Verdana" w:hAnsi="Verdana" w:cs="Arial"/>
          <w:spacing w:val="-3"/>
          <w:sz w:val="20"/>
          <w:szCs w:val="20"/>
        </w:rPr>
        <w:t>lista</w:t>
      </w:r>
      <w:r w:rsidR="007D0936" w:rsidRPr="00D9196E">
        <w:rPr>
          <w:rFonts w:ascii="Verdana" w:hAnsi="Verdana" w:cs="Arial"/>
          <w:spacing w:val="-3"/>
          <w:sz w:val="20"/>
          <w:szCs w:val="20"/>
        </w:rPr>
        <w:t xml:space="preserve"> de</w:t>
      </w:r>
      <w:r w:rsidRPr="00D9196E">
        <w:rPr>
          <w:rFonts w:ascii="Verdana" w:hAnsi="Verdana" w:cs="Arial"/>
          <w:spacing w:val="-3"/>
          <w:sz w:val="20"/>
          <w:szCs w:val="20"/>
        </w:rPr>
        <w:t xml:space="preserve"> activos </w:t>
      </w:r>
      <w:proofErr w:type="gramStart"/>
      <w:r w:rsidRPr="00D9196E">
        <w:rPr>
          <w:rFonts w:ascii="Verdana" w:hAnsi="Verdana" w:cs="Arial"/>
          <w:spacing w:val="-3"/>
          <w:sz w:val="20"/>
          <w:szCs w:val="20"/>
        </w:rPr>
        <w:t>a</w:t>
      </w:r>
      <w:proofErr w:type="gramEnd"/>
      <w:r w:rsidRPr="00D9196E">
        <w:rPr>
          <w:rFonts w:ascii="Verdana" w:hAnsi="Verdana" w:cs="Arial"/>
          <w:spacing w:val="-3"/>
          <w:sz w:val="20"/>
          <w:szCs w:val="20"/>
        </w:rPr>
        <w:t xml:space="preserve"> tener en cuenta para efectos del cálculo de la RIA y su respectivo tratamiento:</w:t>
      </w:r>
    </w:p>
    <w:p w14:paraId="6425918E" w14:textId="77777777" w:rsidR="00C537A5" w:rsidRDefault="00C537A5" w:rsidP="00C537A5">
      <w:pPr>
        <w:tabs>
          <w:tab w:val="left" w:pos="-720"/>
        </w:tabs>
        <w:suppressAutoHyphens/>
        <w:spacing w:after="0" w:line="240" w:lineRule="auto"/>
        <w:jc w:val="both"/>
        <w:rPr>
          <w:rFonts w:ascii="Verdana" w:hAnsi="Verdana" w:cs="Arial"/>
          <w:b/>
          <w:bCs/>
          <w:spacing w:val="-3"/>
          <w:sz w:val="20"/>
          <w:szCs w:val="20"/>
        </w:rPr>
      </w:pPr>
    </w:p>
    <w:p w14:paraId="10EC7145" w14:textId="47BACBB4" w:rsidR="00EF2E73" w:rsidRPr="00C537A5" w:rsidRDefault="00EF2E73" w:rsidP="00C537A5">
      <w:pPr>
        <w:tabs>
          <w:tab w:val="left" w:pos="-720"/>
        </w:tabs>
        <w:suppressAutoHyphens/>
        <w:spacing w:after="0" w:line="240" w:lineRule="auto"/>
        <w:jc w:val="both"/>
        <w:rPr>
          <w:rFonts w:ascii="Verdana" w:hAnsi="Verdana" w:cs="Arial"/>
          <w:b/>
          <w:bCs/>
          <w:spacing w:val="-3"/>
          <w:sz w:val="20"/>
          <w:szCs w:val="20"/>
        </w:rPr>
      </w:pPr>
      <w:r w:rsidRPr="00C537A5">
        <w:rPr>
          <w:rFonts w:ascii="Verdana" w:hAnsi="Verdana" w:cs="Arial"/>
          <w:b/>
          <w:bCs/>
          <w:spacing w:val="-3"/>
          <w:sz w:val="20"/>
          <w:szCs w:val="20"/>
        </w:rPr>
        <w:t>Activos con flujos futuros conocidos</w:t>
      </w:r>
    </w:p>
    <w:p w14:paraId="59C2184A"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3C6708D3" w14:textId="77777777" w:rsidR="00C537A5" w:rsidRDefault="00D9196E" w:rsidP="43C4F2FA">
      <w:pPr>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2.1.A1.15. </w:t>
      </w:r>
    </w:p>
    <w:p w14:paraId="062ABFE1" w14:textId="0FA808D2" w:rsidR="00EF2E73" w:rsidRPr="00D9196E" w:rsidRDefault="00EF2E73" w:rsidP="43C4F2FA">
      <w:pPr>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Cada uno de los flujos de los activos relacionados a continuación se clasificará dentro del </w:t>
      </w:r>
      <w:r w:rsidR="003D4DE7" w:rsidRPr="00D9196E">
        <w:rPr>
          <w:rFonts w:ascii="Verdana" w:hAnsi="Verdana" w:cs="Arial"/>
          <w:spacing w:val="-3"/>
          <w:sz w:val="20"/>
          <w:szCs w:val="20"/>
        </w:rPr>
        <w:t>tramo que</w:t>
      </w:r>
      <w:r w:rsidRPr="00D9196E">
        <w:rPr>
          <w:rFonts w:ascii="Verdana" w:hAnsi="Verdana" w:cs="Arial"/>
          <w:spacing w:val="-3"/>
          <w:sz w:val="20"/>
          <w:szCs w:val="20"/>
        </w:rPr>
        <w:t xml:space="preserve"> corresponda según su plazo al vencimiento:</w:t>
      </w:r>
    </w:p>
    <w:p w14:paraId="310FCAEB"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6FBC363F" w14:textId="3A597744" w:rsidR="00C1606B"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 xml:space="preserve">Títulos de renta fija. </w:t>
      </w:r>
    </w:p>
    <w:p w14:paraId="3EF81EA8" w14:textId="77777777" w:rsidR="00C1606B" w:rsidRPr="00D9196E" w:rsidRDefault="00C1606B" w:rsidP="00C1606B">
      <w:pPr>
        <w:pStyle w:val="Prrafodelista"/>
        <w:tabs>
          <w:tab w:val="left" w:pos="-720"/>
        </w:tabs>
        <w:suppressAutoHyphens/>
        <w:spacing w:after="0" w:line="240" w:lineRule="auto"/>
        <w:ind w:left="567"/>
        <w:jc w:val="both"/>
        <w:rPr>
          <w:rFonts w:ascii="Verdana" w:hAnsi="Verdana" w:cs="Arial"/>
          <w:spacing w:val="-3"/>
          <w:sz w:val="20"/>
          <w:szCs w:val="20"/>
        </w:rPr>
      </w:pPr>
    </w:p>
    <w:p w14:paraId="1CA9F1EC" w14:textId="77777777" w:rsidR="00C1606B"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Contratos de futuros y forwards.</w:t>
      </w:r>
    </w:p>
    <w:p w14:paraId="3EB2AD32" w14:textId="77777777" w:rsidR="00C1606B" w:rsidRPr="00D9196E" w:rsidRDefault="00C1606B" w:rsidP="00C1606B">
      <w:pPr>
        <w:pStyle w:val="Prrafodelista"/>
        <w:rPr>
          <w:rFonts w:ascii="Verdana" w:hAnsi="Verdana" w:cs="Arial"/>
          <w:spacing w:val="-3"/>
          <w:sz w:val="20"/>
          <w:szCs w:val="20"/>
        </w:rPr>
      </w:pPr>
    </w:p>
    <w:p w14:paraId="14AA714E" w14:textId="263BF8DC" w:rsidR="00EC59A5"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Productos estructurados de capital protegido: los flujos correspondientes a la garantía de capital garantizado protegido tendrán un tratamiento similar a un bono cero</w:t>
      </w:r>
      <w:r w:rsidR="00EC59A5" w:rsidRPr="00D9196E">
        <w:rPr>
          <w:rFonts w:ascii="Verdana" w:hAnsi="Verdana" w:cs="Arial"/>
          <w:spacing w:val="-3"/>
          <w:sz w:val="20"/>
          <w:szCs w:val="20"/>
        </w:rPr>
        <w:t>-</w:t>
      </w:r>
      <w:r w:rsidRPr="00D9196E">
        <w:rPr>
          <w:rFonts w:ascii="Verdana" w:hAnsi="Verdana" w:cs="Arial"/>
          <w:spacing w:val="-3"/>
          <w:sz w:val="20"/>
          <w:szCs w:val="20"/>
        </w:rPr>
        <w:t>cupón.</w:t>
      </w:r>
    </w:p>
    <w:p w14:paraId="69C981BE" w14:textId="77777777" w:rsidR="00EC59A5" w:rsidRPr="00D9196E" w:rsidRDefault="00EC59A5" w:rsidP="00EC59A5">
      <w:pPr>
        <w:pStyle w:val="Prrafodelista"/>
        <w:rPr>
          <w:rFonts w:ascii="Verdana" w:hAnsi="Verdana" w:cs="Arial"/>
          <w:spacing w:val="-3"/>
          <w:sz w:val="20"/>
          <w:szCs w:val="20"/>
        </w:rPr>
      </w:pPr>
    </w:p>
    <w:p w14:paraId="68E423D1" w14:textId="77777777" w:rsidR="00EC59A5"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Los préstamos con garantía en las pólizas de seguro de vida o títulos de capitalización siempre que no exista mora en el pago de las cuotas.</w:t>
      </w:r>
    </w:p>
    <w:p w14:paraId="133F0370" w14:textId="77777777" w:rsidR="00EC59A5" w:rsidRPr="00D9196E" w:rsidRDefault="00EC59A5" w:rsidP="00EC59A5">
      <w:pPr>
        <w:pStyle w:val="Prrafodelista"/>
        <w:rPr>
          <w:rFonts w:ascii="Verdana" w:hAnsi="Verdana" w:cs="Arial"/>
          <w:spacing w:val="-3"/>
          <w:sz w:val="20"/>
          <w:szCs w:val="20"/>
        </w:rPr>
      </w:pPr>
    </w:p>
    <w:p w14:paraId="7F9D468B" w14:textId="77777777" w:rsidR="009C0352"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lastRenderedPageBreak/>
        <w:t>Bienes raíces productivos localizados en territorio colombiano con contrato de arrendamiento vigente. Los flujos correspondientes a los arriendos serán tenidos en cuenta hasta el momento del vencimiento del contrato y a partir del vencimiento del contrato se incorporará el valor razonable del inmueble como un flujo en el respectivo tramo.</w:t>
      </w:r>
    </w:p>
    <w:p w14:paraId="4FA842D9" w14:textId="77777777" w:rsidR="009C0352" w:rsidRPr="00D9196E" w:rsidRDefault="009C0352" w:rsidP="009C0352">
      <w:pPr>
        <w:pStyle w:val="Prrafodelista"/>
        <w:rPr>
          <w:rFonts w:ascii="Verdana" w:hAnsi="Verdana" w:cs="Arial"/>
          <w:spacing w:val="-3"/>
          <w:sz w:val="20"/>
          <w:szCs w:val="20"/>
        </w:rPr>
      </w:pPr>
    </w:p>
    <w:p w14:paraId="6B9983AB" w14:textId="77777777" w:rsidR="009C0352"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Operaciones repo activas, operaciones simultáneas activas y operaciones de transferencia temporal de valores.</w:t>
      </w:r>
    </w:p>
    <w:p w14:paraId="7B5D1C0C" w14:textId="77777777" w:rsidR="009C0352" w:rsidRPr="00D9196E" w:rsidRDefault="009C0352" w:rsidP="009C0352">
      <w:pPr>
        <w:pStyle w:val="Prrafodelista"/>
        <w:rPr>
          <w:rFonts w:ascii="Verdana" w:hAnsi="Verdana" w:cs="Arial"/>
          <w:spacing w:val="-3"/>
          <w:sz w:val="20"/>
          <w:szCs w:val="20"/>
        </w:rPr>
      </w:pPr>
    </w:p>
    <w:p w14:paraId="42676A9F" w14:textId="77777777" w:rsidR="00E04D53"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Inversiones en fondos de capital privado cuya estimación de flujos futuros a favor de la entidad aseguradora como inversionista sea acreditada por su gerente o gestor profesional.</w:t>
      </w:r>
    </w:p>
    <w:p w14:paraId="14722FAE" w14:textId="77777777" w:rsidR="00E04D53" w:rsidRPr="00D9196E" w:rsidRDefault="00E04D53" w:rsidP="00E04D53">
      <w:pPr>
        <w:pStyle w:val="Prrafodelista"/>
        <w:rPr>
          <w:rFonts w:ascii="Verdana" w:hAnsi="Verdana" w:cs="Arial"/>
          <w:spacing w:val="-3"/>
          <w:sz w:val="20"/>
          <w:szCs w:val="20"/>
        </w:rPr>
      </w:pPr>
    </w:p>
    <w:p w14:paraId="3ABBAC9E" w14:textId="790A1AEF" w:rsidR="00C92A0C"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 xml:space="preserve">Participaciones en fondos de inversión colectiva inmobiliarios y esquemas de inversión colectiva que en su prospecto o reglamento tengan por objeto principal invertir en activos de naturaleza inmobiliaria, cuya estimación de flujos futuros a favor de la entidad aseguradora como inversionista sea acreditada por </w:t>
      </w:r>
      <w:r w:rsidR="00060B92" w:rsidRPr="00D9196E">
        <w:rPr>
          <w:rFonts w:ascii="Verdana" w:hAnsi="Verdana" w:cs="Arial"/>
          <w:spacing w:val="-3"/>
          <w:sz w:val="20"/>
          <w:szCs w:val="20"/>
        </w:rPr>
        <w:t>la</w:t>
      </w:r>
      <w:r w:rsidRPr="00D9196E">
        <w:rPr>
          <w:rFonts w:ascii="Verdana" w:hAnsi="Verdana" w:cs="Arial"/>
          <w:spacing w:val="-3"/>
          <w:sz w:val="20"/>
          <w:szCs w:val="20"/>
        </w:rPr>
        <w:t xml:space="preserve"> sociedad administradora. </w:t>
      </w:r>
    </w:p>
    <w:p w14:paraId="4CDA069C" w14:textId="77777777" w:rsidR="00C92A0C" w:rsidRPr="00D9196E" w:rsidRDefault="00C92A0C" w:rsidP="00C92A0C">
      <w:pPr>
        <w:pStyle w:val="Prrafodelista"/>
        <w:rPr>
          <w:rFonts w:ascii="Verdana" w:hAnsi="Verdana" w:cs="Arial"/>
          <w:spacing w:val="-3"/>
          <w:sz w:val="20"/>
          <w:szCs w:val="20"/>
        </w:rPr>
      </w:pPr>
    </w:p>
    <w:p w14:paraId="596A7347" w14:textId="09A1A204" w:rsidR="00EF2E73" w:rsidRPr="00D9196E" w:rsidRDefault="00EF2E73" w:rsidP="00EF2E73">
      <w:pPr>
        <w:pStyle w:val="Prrafodelista"/>
        <w:numPr>
          <w:ilvl w:val="0"/>
          <w:numId w:val="6"/>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 xml:space="preserve">Títulos de contenido crediticio, participativos o mixtos derivados de procesos de titularización cuyos activos subyacentes sean de naturaleza inmobiliaria, cuya estimación de flujos futuros a favor de la entidad aseguradora como inversionista sea acreditada por </w:t>
      </w:r>
      <w:r w:rsidR="00060B92" w:rsidRPr="00D9196E">
        <w:rPr>
          <w:rFonts w:ascii="Verdana" w:hAnsi="Verdana" w:cs="Arial"/>
          <w:spacing w:val="-3"/>
          <w:sz w:val="20"/>
          <w:szCs w:val="20"/>
        </w:rPr>
        <w:t xml:space="preserve">la </w:t>
      </w:r>
      <w:r w:rsidRPr="00D9196E">
        <w:rPr>
          <w:rFonts w:ascii="Verdana" w:hAnsi="Verdana" w:cs="Arial"/>
          <w:spacing w:val="-3"/>
          <w:sz w:val="20"/>
          <w:szCs w:val="20"/>
        </w:rPr>
        <w:t xml:space="preserve">sociedad administradora. </w:t>
      </w:r>
    </w:p>
    <w:p w14:paraId="63522295" w14:textId="77777777" w:rsidR="00C537A5" w:rsidRDefault="00C537A5" w:rsidP="00C537A5">
      <w:pPr>
        <w:tabs>
          <w:tab w:val="left" w:pos="-720"/>
        </w:tabs>
        <w:suppressAutoHyphens/>
        <w:spacing w:after="0" w:line="240" w:lineRule="auto"/>
        <w:jc w:val="both"/>
        <w:rPr>
          <w:rFonts w:ascii="Verdana" w:hAnsi="Verdana" w:cs="Arial"/>
          <w:b/>
          <w:bCs/>
          <w:spacing w:val="-3"/>
          <w:sz w:val="20"/>
          <w:szCs w:val="20"/>
        </w:rPr>
      </w:pPr>
    </w:p>
    <w:p w14:paraId="0B4043CA" w14:textId="057136DB" w:rsidR="00EF2E73" w:rsidRPr="00C537A5" w:rsidRDefault="00EF2E73" w:rsidP="00C537A5">
      <w:pPr>
        <w:tabs>
          <w:tab w:val="left" w:pos="-720"/>
        </w:tabs>
        <w:suppressAutoHyphens/>
        <w:spacing w:after="0" w:line="240" w:lineRule="auto"/>
        <w:jc w:val="both"/>
        <w:rPr>
          <w:rFonts w:ascii="Verdana" w:hAnsi="Verdana" w:cs="Arial"/>
          <w:b/>
          <w:bCs/>
          <w:spacing w:val="-3"/>
          <w:sz w:val="20"/>
          <w:szCs w:val="20"/>
        </w:rPr>
      </w:pPr>
      <w:r w:rsidRPr="00C537A5">
        <w:rPr>
          <w:rFonts w:ascii="Verdana" w:hAnsi="Verdana" w:cs="Arial"/>
          <w:b/>
          <w:bCs/>
          <w:spacing w:val="-3"/>
          <w:sz w:val="20"/>
          <w:szCs w:val="20"/>
        </w:rPr>
        <w:t>Activos sin flujos futuros conocidos</w:t>
      </w:r>
    </w:p>
    <w:p w14:paraId="3B7555A1"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0B6E61BB" w14:textId="77777777" w:rsidR="00C537A5" w:rsidRDefault="00D9196E" w:rsidP="43C4F2FA">
      <w:pPr>
        <w:jc w:val="both"/>
        <w:rPr>
          <w:rFonts w:ascii="Verdana" w:hAnsi="Verdana" w:cs="Arial"/>
          <w:spacing w:val="-3"/>
          <w:sz w:val="20"/>
          <w:szCs w:val="20"/>
        </w:rPr>
      </w:pPr>
      <w:r>
        <w:rPr>
          <w:rFonts w:ascii="Verdana" w:hAnsi="Verdana" w:cs="Arial"/>
          <w:spacing w:val="-3"/>
          <w:sz w:val="20"/>
          <w:szCs w:val="20"/>
        </w:rPr>
        <w:t xml:space="preserve">2.1.A1.16. </w:t>
      </w:r>
    </w:p>
    <w:p w14:paraId="2D378631" w14:textId="12E45051" w:rsidR="00EF2E73" w:rsidRPr="00D9196E" w:rsidRDefault="00E605FF" w:rsidP="43C4F2FA">
      <w:pPr>
        <w:jc w:val="both"/>
        <w:rPr>
          <w:rFonts w:ascii="Verdana" w:hAnsi="Verdana" w:cs="Arial"/>
          <w:sz w:val="20"/>
          <w:szCs w:val="20"/>
        </w:rPr>
      </w:pPr>
      <w:r w:rsidRPr="00D9196E">
        <w:rPr>
          <w:rFonts w:ascii="Verdana" w:hAnsi="Verdana" w:cs="Arial"/>
          <w:sz w:val="20"/>
          <w:szCs w:val="20"/>
        </w:rPr>
        <w:t xml:space="preserve">Salvo lo previsto en el literal </w:t>
      </w:r>
      <w:r w:rsidR="00647B0F">
        <w:rPr>
          <w:rFonts w:ascii="Verdana" w:hAnsi="Verdana" w:cs="Arial"/>
          <w:sz w:val="20"/>
          <w:szCs w:val="20"/>
        </w:rPr>
        <w:t>(</w:t>
      </w:r>
      <w:r w:rsidRPr="00D9196E">
        <w:rPr>
          <w:rFonts w:ascii="Verdana" w:hAnsi="Verdana" w:cs="Arial"/>
          <w:sz w:val="20"/>
          <w:szCs w:val="20"/>
        </w:rPr>
        <w:t>i</w:t>
      </w:r>
      <w:r w:rsidR="00647B0F">
        <w:rPr>
          <w:rFonts w:ascii="Verdana" w:hAnsi="Verdana" w:cs="Arial"/>
          <w:sz w:val="20"/>
          <w:szCs w:val="20"/>
        </w:rPr>
        <w:t>)</w:t>
      </w:r>
      <w:r w:rsidRPr="00D9196E">
        <w:rPr>
          <w:rFonts w:ascii="Verdana" w:hAnsi="Verdana" w:cs="Arial"/>
          <w:sz w:val="20"/>
          <w:szCs w:val="20"/>
        </w:rPr>
        <w:t xml:space="preserve"> del presente </w:t>
      </w:r>
      <w:r w:rsidR="00647B0F">
        <w:rPr>
          <w:rFonts w:ascii="Verdana" w:hAnsi="Verdana" w:cs="Arial"/>
          <w:sz w:val="20"/>
          <w:szCs w:val="20"/>
        </w:rPr>
        <w:t>párrafo</w:t>
      </w:r>
      <w:r w:rsidRPr="00D9196E">
        <w:rPr>
          <w:rFonts w:ascii="Verdana" w:hAnsi="Verdana" w:cs="Arial"/>
          <w:sz w:val="20"/>
          <w:szCs w:val="20"/>
        </w:rPr>
        <w:t>, los siguientes activos que no tienen flujos futuros conocidos deberán ser considerados por su valor razonable como un único flujo en el primer tramo</w:t>
      </w:r>
      <w:r w:rsidR="00501F44" w:rsidRPr="00D9196E">
        <w:rPr>
          <w:rFonts w:ascii="Verdana" w:hAnsi="Verdana" w:cs="Arial"/>
          <w:sz w:val="20"/>
          <w:szCs w:val="20"/>
        </w:rPr>
        <w:t xml:space="preserve"> de tiempo</w:t>
      </w:r>
      <w:r w:rsidRPr="00D9196E">
        <w:rPr>
          <w:rFonts w:ascii="Verdana" w:hAnsi="Verdana" w:cs="Arial"/>
          <w:sz w:val="20"/>
          <w:szCs w:val="20"/>
        </w:rPr>
        <w:t xml:space="preserve"> (en valor presente):</w:t>
      </w:r>
    </w:p>
    <w:p w14:paraId="544DD57B" w14:textId="77777777" w:rsidR="00E605FF" w:rsidRPr="00D9196E" w:rsidRDefault="00EF2E73" w:rsidP="00EF2E73">
      <w:pPr>
        <w:pStyle w:val="Prrafodelista"/>
        <w:numPr>
          <w:ilvl w:val="0"/>
          <w:numId w:val="7"/>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Depósitos a la vista.</w:t>
      </w:r>
    </w:p>
    <w:p w14:paraId="2B4679F8" w14:textId="77777777" w:rsidR="00E605FF" w:rsidRPr="00D9196E" w:rsidRDefault="00E605FF" w:rsidP="00E605FF">
      <w:pPr>
        <w:pStyle w:val="Prrafodelista"/>
        <w:tabs>
          <w:tab w:val="left" w:pos="-720"/>
        </w:tabs>
        <w:suppressAutoHyphens/>
        <w:spacing w:after="0" w:line="240" w:lineRule="auto"/>
        <w:ind w:left="567"/>
        <w:jc w:val="both"/>
        <w:rPr>
          <w:rFonts w:ascii="Verdana" w:hAnsi="Verdana" w:cs="Arial"/>
          <w:spacing w:val="-3"/>
          <w:sz w:val="20"/>
          <w:szCs w:val="20"/>
        </w:rPr>
      </w:pPr>
    </w:p>
    <w:p w14:paraId="7088DB0B" w14:textId="77777777" w:rsidR="00E605FF" w:rsidRPr="00D9196E" w:rsidRDefault="00EF2E73" w:rsidP="00EF2E73">
      <w:pPr>
        <w:pStyle w:val="Prrafodelista"/>
        <w:numPr>
          <w:ilvl w:val="0"/>
          <w:numId w:val="7"/>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 xml:space="preserve">Títulos y/o valores participativos: acciones, participaciones en fondos de inversión colectiva, títulos participativos o mixtos derivados de procesos de titularización cuyos activos subyacentes sean distintos a aquellos de naturaleza inmobiliaria. </w:t>
      </w:r>
    </w:p>
    <w:p w14:paraId="4D4831FA" w14:textId="77777777" w:rsidR="00E605FF" w:rsidRPr="00D9196E" w:rsidRDefault="00E605FF" w:rsidP="00E605FF">
      <w:pPr>
        <w:pStyle w:val="Prrafodelista"/>
        <w:rPr>
          <w:rFonts w:ascii="Verdana" w:hAnsi="Verdana" w:cs="Arial"/>
          <w:spacing w:val="-3"/>
          <w:sz w:val="20"/>
          <w:szCs w:val="20"/>
        </w:rPr>
      </w:pPr>
    </w:p>
    <w:p w14:paraId="01ADE037" w14:textId="77777777" w:rsidR="00E605FF" w:rsidRPr="00D9196E" w:rsidRDefault="00EF2E73" w:rsidP="00EF2E73">
      <w:pPr>
        <w:pStyle w:val="Prrafodelista"/>
        <w:numPr>
          <w:ilvl w:val="0"/>
          <w:numId w:val="7"/>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Inversiones en fondos de capital privado cuya estimación de flujos futuros a favor de la entidad aseguradora como inversionista no esté acreditada por su gerente o gestor profesional.</w:t>
      </w:r>
    </w:p>
    <w:p w14:paraId="067F592D" w14:textId="77777777" w:rsidR="00E605FF" w:rsidRPr="00D9196E" w:rsidRDefault="00E605FF" w:rsidP="00E605FF">
      <w:pPr>
        <w:pStyle w:val="Prrafodelista"/>
        <w:rPr>
          <w:rFonts w:ascii="Verdana" w:hAnsi="Verdana" w:cs="Arial"/>
          <w:spacing w:val="-3"/>
          <w:sz w:val="20"/>
          <w:szCs w:val="20"/>
        </w:rPr>
      </w:pPr>
    </w:p>
    <w:p w14:paraId="55848068" w14:textId="3DBF2D09" w:rsidR="00E605FF" w:rsidRPr="00D9196E" w:rsidRDefault="00EF2E73" w:rsidP="00EF2E73">
      <w:pPr>
        <w:pStyle w:val="Prrafodelista"/>
        <w:numPr>
          <w:ilvl w:val="0"/>
          <w:numId w:val="7"/>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 xml:space="preserve">Participaciones en </w:t>
      </w:r>
      <w:r w:rsidRPr="00D9196E">
        <w:rPr>
          <w:rFonts w:ascii="Verdana" w:hAnsi="Verdana" w:cs="Arial"/>
          <w:i/>
          <w:spacing w:val="-3"/>
          <w:sz w:val="20"/>
          <w:szCs w:val="20"/>
        </w:rPr>
        <w:t>hedge funds</w:t>
      </w:r>
      <w:r w:rsidRPr="00D9196E">
        <w:rPr>
          <w:rFonts w:ascii="Verdana" w:hAnsi="Verdana" w:cs="Arial"/>
          <w:spacing w:val="-3"/>
          <w:sz w:val="20"/>
          <w:szCs w:val="20"/>
        </w:rPr>
        <w:t xml:space="preserve"> o en fondos representativos de índices de renta fija, </w:t>
      </w:r>
      <w:r w:rsidRPr="00D9196E">
        <w:rPr>
          <w:rFonts w:ascii="Verdana" w:hAnsi="Verdana" w:cs="Arial"/>
          <w:i/>
          <w:spacing w:val="-3"/>
          <w:sz w:val="20"/>
          <w:szCs w:val="20"/>
        </w:rPr>
        <w:t>commodities</w:t>
      </w:r>
      <w:r w:rsidRPr="00D9196E">
        <w:rPr>
          <w:rFonts w:ascii="Verdana" w:hAnsi="Verdana" w:cs="Arial"/>
          <w:spacing w:val="-3"/>
          <w:sz w:val="20"/>
          <w:szCs w:val="20"/>
        </w:rPr>
        <w:t>, divisas y de acciones</w:t>
      </w:r>
      <w:r w:rsidR="003E3857" w:rsidRPr="00D9196E">
        <w:rPr>
          <w:rFonts w:ascii="Verdana" w:hAnsi="Verdana" w:cs="Arial"/>
          <w:spacing w:val="-3"/>
          <w:sz w:val="20"/>
          <w:szCs w:val="20"/>
        </w:rPr>
        <w:t>,</w:t>
      </w:r>
      <w:r w:rsidRPr="00D9196E">
        <w:rPr>
          <w:rFonts w:ascii="Verdana" w:hAnsi="Verdana" w:cs="Arial"/>
          <w:spacing w:val="-3"/>
          <w:sz w:val="20"/>
          <w:szCs w:val="20"/>
        </w:rPr>
        <w:t xml:space="preserve"> incluidos </w:t>
      </w:r>
      <w:r w:rsidR="003E3857" w:rsidRPr="00D9196E">
        <w:rPr>
          <w:rFonts w:ascii="Verdana" w:hAnsi="Verdana" w:cs="Arial"/>
          <w:spacing w:val="-3"/>
          <w:sz w:val="20"/>
          <w:szCs w:val="20"/>
        </w:rPr>
        <w:t xml:space="preserve">los fondos bursátiles o </w:t>
      </w:r>
      <w:r w:rsidRPr="00D9196E">
        <w:rPr>
          <w:rFonts w:ascii="Verdana" w:hAnsi="Verdana" w:cs="Arial"/>
          <w:spacing w:val="-3"/>
          <w:sz w:val="20"/>
          <w:szCs w:val="20"/>
        </w:rPr>
        <w:t>ETF cuyo índice se haya construido a partir de los mencionados tipos de activos.</w:t>
      </w:r>
    </w:p>
    <w:p w14:paraId="573EF709" w14:textId="77777777" w:rsidR="00E605FF" w:rsidRPr="00D9196E" w:rsidRDefault="00E605FF" w:rsidP="00E605FF">
      <w:pPr>
        <w:pStyle w:val="Prrafodelista"/>
        <w:rPr>
          <w:rFonts w:ascii="Verdana" w:hAnsi="Verdana" w:cs="Arial"/>
          <w:spacing w:val="-3"/>
          <w:sz w:val="20"/>
          <w:szCs w:val="20"/>
        </w:rPr>
      </w:pPr>
    </w:p>
    <w:p w14:paraId="65792FD1" w14:textId="1E6BFB3E" w:rsidR="00E605FF" w:rsidRPr="00D9196E" w:rsidRDefault="00EF2E73" w:rsidP="00EF2E73">
      <w:pPr>
        <w:pStyle w:val="Prrafodelista"/>
        <w:numPr>
          <w:ilvl w:val="0"/>
          <w:numId w:val="7"/>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 xml:space="preserve">Participaciones en fondos de inversión colectiva inmobiliarios y esquemas de inversión colectiva que en su prospecto o reglamento tengan por objeto principal invertir en activos de naturaleza inmobiliaria, cuya estimación de flujos futuros a favor de la entidad aseguradora como inversionista no esté acreditada por </w:t>
      </w:r>
      <w:r w:rsidR="008D3A50" w:rsidRPr="00D9196E">
        <w:rPr>
          <w:rFonts w:ascii="Verdana" w:hAnsi="Verdana" w:cs="Arial"/>
          <w:spacing w:val="-3"/>
          <w:sz w:val="20"/>
          <w:szCs w:val="20"/>
        </w:rPr>
        <w:t xml:space="preserve">la </w:t>
      </w:r>
      <w:r w:rsidRPr="00D9196E">
        <w:rPr>
          <w:rFonts w:ascii="Verdana" w:hAnsi="Verdana" w:cs="Arial"/>
          <w:spacing w:val="-3"/>
          <w:sz w:val="20"/>
          <w:szCs w:val="20"/>
        </w:rPr>
        <w:t>sociedad administradora.</w:t>
      </w:r>
    </w:p>
    <w:p w14:paraId="752C3FBC" w14:textId="77777777" w:rsidR="00E605FF" w:rsidRPr="00D9196E" w:rsidRDefault="00E605FF" w:rsidP="00E605FF">
      <w:pPr>
        <w:pStyle w:val="Prrafodelista"/>
        <w:rPr>
          <w:rFonts w:ascii="Verdana" w:hAnsi="Verdana" w:cs="Arial"/>
          <w:spacing w:val="-3"/>
          <w:sz w:val="20"/>
          <w:szCs w:val="20"/>
        </w:rPr>
      </w:pPr>
    </w:p>
    <w:p w14:paraId="547E965F" w14:textId="2F923145" w:rsidR="00E605FF" w:rsidRPr="00D9196E" w:rsidRDefault="00EF2E73" w:rsidP="00EF2E73">
      <w:pPr>
        <w:pStyle w:val="Prrafodelista"/>
        <w:numPr>
          <w:ilvl w:val="0"/>
          <w:numId w:val="7"/>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 xml:space="preserve">Títulos de contenido crediticio, participativos o mixtos derivados de procesos de titularización cuyos activos subyacentes sean de naturaleza inmobiliaria, cuya estimación de flujos futuros a favor de la entidad aseguradora como inversionista no esté acreditada por </w:t>
      </w:r>
      <w:r w:rsidR="008D3A50" w:rsidRPr="00D9196E">
        <w:rPr>
          <w:rFonts w:ascii="Verdana" w:hAnsi="Verdana" w:cs="Arial"/>
          <w:spacing w:val="-3"/>
          <w:sz w:val="20"/>
          <w:szCs w:val="20"/>
        </w:rPr>
        <w:t>la</w:t>
      </w:r>
      <w:r w:rsidRPr="00D9196E">
        <w:rPr>
          <w:rFonts w:ascii="Verdana" w:hAnsi="Verdana" w:cs="Arial"/>
          <w:spacing w:val="-3"/>
          <w:sz w:val="20"/>
          <w:szCs w:val="20"/>
        </w:rPr>
        <w:t xml:space="preserve"> sociedad administradora.</w:t>
      </w:r>
    </w:p>
    <w:p w14:paraId="175BA2AA" w14:textId="77777777" w:rsidR="00E605FF" w:rsidRPr="00D9196E" w:rsidRDefault="00E605FF" w:rsidP="00E605FF">
      <w:pPr>
        <w:pStyle w:val="Prrafodelista"/>
        <w:rPr>
          <w:rFonts w:ascii="Verdana" w:hAnsi="Verdana" w:cs="Arial"/>
          <w:spacing w:val="-3"/>
          <w:sz w:val="20"/>
          <w:szCs w:val="20"/>
        </w:rPr>
      </w:pPr>
    </w:p>
    <w:p w14:paraId="2ED733A8" w14:textId="007ED092" w:rsidR="00E605FF" w:rsidRPr="00D9196E" w:rsidRDefault="00EF2E73" w:rsidP="43C4F2FA">
      <w:pPr>
        <w:pStyle w:val="Prrafodelista"/>
        <w:numPr>
          <w:ilvl w:val="0"/>
          <w:numId w:val="7"/>
        </w:numPr>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 xml:space="preserve">Bienes raíces productivos localizados en territorio colombiano sin contrato de arrendamiento vigente, </w:t>
      </w:r>
      <w:r w:rsidR="004E21F4" w:rsidRPr="00D9196E">
        <w:rPr>
          <w:rFonts w:ascii="Verdana" w:hAnsi="Verdana" w:cs="Arial"/>
          <w:spacing w:val="-3"/>
          <w:sz w:val="20"/>
          <w:szCs w:val="20"/>
        </w:rPr>
        <w:t>mencionados</w:t>
      </w:r>
      <w:r w:rsidRPr="00D9196E">
        <w:rPr>
          <w:rFonts w:ascii="Verdana" w:hAnsi="Verdana" w:cs="Arial"/>
          <w:spacing w:val="-3"/>
          <w:sz w:val="20"/>
          <w:szCs w:val="20"/>
        </w:rPr>
        <w:t xml:space="preserve"> en el </w:t>
      </w:r>
      <w:r w:rsidR="488DE8B9" w:rsidRPr="00D615E5">
        <w:rPr>
          <w:rFonts w:ascii="Verdana" w:hAnsi="Verdana" w:cs="Arial"/>
          <w:spacing w:val="-3"/>
          <w:sz w:val="20"/>
          <w:szCs w:val="20"/>
        </w:rPr>
        <w:t>sub</w:t>
      </w:r>
      <w:r w:rsidRPr="00D615E5">
        <w:rPr>
          <w:rFonts w:ascii="Verdana" w:hAnsi="Verdana" w:cs="Arial"/>
          <w:spacing w:val="-3"/>
          <w:sz w:val="20"/>
          <w:szCs w:val="20"/>
        </w:rPr>
        <w:t xml:space="preserve">numeral 2.2.6 del </w:t>
      </w:r>
      <w:r w:rsidR="00D54EDC" w:rsidRPr="00D615E5">
        <w:rPr>
          <w:rFonts w:ascii="Verdana" w:hAnsi="Verdana" w:cs="Arial"/>
          <w:spacing w:val="-3"/>
          <w:sz w:val="20"/>
          <w:szCs w:val="20"/>
        </w:rPr>
        <w:t>c</w:t>
      </w:r>
      <w:r w:rsidRPr="00D615E5">
        <w:rPr>
          <w:rFonts w:ascii="Verdana" w:hAnsi="Verdana" w:cs="Arial"/>
          <w:spacing w:val="-3"/>
          <w:sz w:val="20"/>
          <w:szCs w:val="20"/>
        </w:rPr>
        <w:t>apítulo II</w:t>
      </w:r>
      <w:r w:rsidR="004E21F4" w:rsidRPr="00D615E5">
        <w:rPr>
          <w:rFonts w:ascii="Verdana" w:hAnsi="Verdana" w:cs="Arial"/>
          <w:spacing w:val="-3"/>
          <w:sz w:val="20"/>
          <w:szCs w:val="20"/>
        </w:rPr>
        <w:t xml:space="preserve"> del</w:t>
      </w:r>
      <w:r w:rsidRPr="00D615E5">
        <w:rPr>
          <w:rFonts w:ascii="Verdana" w:hAnsi="Verdana" w:cs="Arial"/>
          <w:spacing w:val="-3"/>
          <w:sz w:val="20"/>
          <w:szCs w:val="20"/>
        </w:rPr>
        <w:t xml:space="preserve"> </w:t>
      </w:r>
      <w:r w:rsidR="00D54EDC" w:rsidRPr="00D615E5">
        <w:rPr>
          <w:rFonts w:ascii="Verdana" w:hAnsi="Verdana" w:cs="Arial"/>
          <w:spacing w:val="-3"/>
          <w:sz w:val="20"/>
          <w:szCs w:val="20"/>
        </w:rPr>
        <w:t>t</w:t>
      </w:r>
      <w:r w:rsidRPr="00D615E5">
        <w:rPr>
          <w:rFonts w:ascii="Verdana" w:hAnsi="Verdana" w:cs="Arial"/>
          <w:spacing w:val="-3"/>
          <w:sz w:val="20"/>
          <w:szCs w:val="20"/>
        </w:rPr>
        <w:t>ítulo IV</w:t>
      </w:r>
      <w:r w:rsidR="004E21F4" w:rsidRPr="00D615E5">
        <w:rPr>
          <w:rFonts w:ascii="Verdana" w:hAnsi="Verdana" w:cs="Arial"/>
          <w:spacing w:val="-3"/>
          <w:sz w:val="20"/>
          <w:szCs w:val="20"/>
        </w:rPr>
        <w:t xml:space="preserve"> de la</w:t>
      </w:r>
      <w:r w:rsidRPr="00D615E5">
        <w:rPr>
          <w:rFonts w:ascii="Verdana" w:hAnsi="Verdana" w:cs="Arial"/>
          <w:spacing w:val="-3"/>
          <w:sz w:val="20"/>
          <w:szCs w:val="20"/>
        </w:rPr>
        <w:t xml:space="preserve"> </w:t>
      </w:r>
      <w:r w:rsidR="00D54EDC" w:rsidRPr="00D615E5">
        <w:rPr>
          <w:rFonts w:ascii="Verdana" w:hAnsi="Verdana" w:cs="Arial"/>
          <w:spacing w:val="-3"/>
          <w:sz w:val="20"/>
          <w:szCs w:val="20"/>
        </w:rPr>
        <w:t>p</w:t>
      </w:r>
      <w:r w:rsidRPr="00D615E5">
        <w:rPr>
          <w:rFonts w:ascii="Verdana" w:hAnsi="Verdana" w:cs="Arial"/>
          <w:spacing w:val="-3"/>
          <w:sz w:val="20"/>
          <w:szCs w:val="20"/>
        </w:rPr>
        <w:t>arte II de la CBJ.</w:t>
      </w:r>
    </w:p>
    <w:p w14:paraId="10E5760C" w14:textId="77777777" w:rsidR="00E605FF" w:rsidRPr="00D9196E" w:rsidRDefault="00E605FF" w:rsidP="00E605FF">
      <w:pPr>
        <w:pStyle w:val="Prrafodelista"/>
        <w:rPr>
          <w:rFonts w:ascii="Verdana" w:hAnsi="Verdana" w:cs="Arial"/>
          <w:spacing w:val="-3"/>
          <w:sz w:val="20"/>
          <w:szCs w:val="20"/>
        </w:rPr>
      </w:pPr>
    </w:p>
    <w:p w14:paraId="4810563A" w14:textId="77777777" w:rsidR="00E605FF" w:rsidRPr="00D9196E" w:rsidRDefault="00EF2E73" w:rsidP="00E605FF">
      <w:pPr>
        <w:pStyle w:val="Prrafodelista"/>
        <w:numPr>
          <w:ilvl w:val="0"/>
          <w:numId w:val="7"/>
        </w:numPr>
        <w:tabs>
          <w:tab w:val="left" w:pos="-720"/>
        </w:tabs>
        <w:suppressAutoHyphens/>
        <w:spacing w:after="0" w:line="240" w:lineRule="auto"/>
        <w:ind w:left="567" w:hanging="567"/>
        <w:jc w:val="both"/>
        <w:rPr>
          <w:rFonts w:ascii="Verdana" w:hAnsi="Verdana" w:cs="Arial"/>
          <w:spacing w:val="-3"/>
          <w:sz w:val="20"/>
          <w:szCs w:val="20"/>
        </w:rPr>
      </w:pPr>
      <w:r w:rsidRPr="00D9196E">
        <w:rPr>
          <w:rFonts w:ascii="Verdana" w:hAnsi="Verdana" w:cs="Arial"/>
          <w:spacing w:val="-3"/>
          <w:sz w:val="20"/>
          <w:szCs w:val="20"/>
        </w:rPr>
        <w:t>Contratos de opciones.</w:t>
      </w:r>
    </w:p>
    <w:p w14:paraId="35C8CF34" w14:textId="77777777" w:rsidR="00E605FF" w:rsidRPr="00D9196E" w:rsidRDefault="00E605FF" w:rsidP="00E605FF">
      <w:pPr>
        <w:pStyle w:val="Prrafodelista"/>
        <w:rPr>
          <w:rFonts w:ascii="Verdana" w:hAnsi="Verdana" w:cs="Arial"/>
          <w:sz w:val="20"/>
          <w:szCs w:val="20"/>
        </w:rPr>
      </w:pPr>
    </w:p>
    <w:p w14:paraId="75AAF90E" w14:textId="3CCF300B" w:rsidR="00EF2E73" w:rsidRPr="00D9196E" w:rsidRDefault="00EF2E73" w:rsidP="43C4F2FA">
      <w:pPr>
        <w:pStyle w:val="Prrafodelista"/>
        <w:numPr>
          <w:ilvl w:val="0"/>
          <w:numId w:val="7"/>
        </w:numPr>
        <w:suppressAutoHyphens/>
        <w:spacing w:after="0" w:line="240" w:lineRule="auto"/>
        <w:ind w:left="567" w:hanging="567"/>
        <w:jc w:val="both"/>
        <w:rPr>
          <w:rFonts w:ascii="Verdana" w:hAnsi="Verdana" w:cs="Arial"/>
          <w:spacing w:val="-3"/>
          <w:sz w:val="20"/>
          <w:szCs w:val="20"/>
        </w:rPr>
      </w:pPr>
      <w:r w:rsidRPr="00D9196E">
        <w:rPr>
          <w:rFonts w:ascii="Verdana" w:hAnsi="Verdana" w:cs="Arial"/>
          <w:sz w:val="20"/>
          <w:szCs w:val="20"/>
        </w:rPr>
        <w:lastRenderedPageBreak/>
        <w:t xml:space="preserve">Para el caso de los bienes raíces no productivos que respaldan la reserva matemática de las pólizas de renta vitalicia inmobiliaria, estos deberán ser considerados como un único flujo en el tramo </w:t>
      </w:r>
      <w:r w:rsidR="00A67439" w:rsidRPr="00D9196E">
        <w:rPr>
          <w:rFonts w:ascii="Verdana" w:hAnsi="Verdana" w:cs="Arial"/>
          <w:sz w:val="20"/>
          <w:szCs w:val="20"/>
        </w:rPr>
        <w:t xml:space="preserve">de tiempo </w:t>
      </w:r>
      <w:r w:rsidRPr="00D9196E">
        <w:rPr>
          <w:rFonts w:ascii="Verdana" w:hAnsi="Verdana" w:cs="Arial"/>
          <w:sz w:val="20"/>
          <w:szCs w:val="20"/>
        </w:rPr>
        <w:t xml:space="preserve">que corresponda (en valor presente) de acuerdo con la expectativa de vida del grupo del último sobreviviente conformado por los beneficiarios. Para esto, se deben aplicar las reglas y procedimientos de valoración señalados en el </w:t>
      </w:r>
      <w:r w:rsidR="51951199" w:rsidRPr="00D9196E">
        <w:rPr>
          <w:rFonts w:ascii="Verdana" w:hAnsi="Verdana" w:cs="Arial"/>
          <w:sz w:val="20"/>
          <w:szCs w:val="20"/>
        </w:rPr>
        <w:t>sub</w:t>
      </w:r>
      <w:r w:rsidRPr="00D9196E">
        <w:rPr>
          <w:rFonts w:ascii="Verdana" w:hAnsi="Verdana" w:cs="Arial"/>
          <w:sz w:val="20"/>
          <w:szCs w:val="20"/>
        </w:rPr>
        <w:t xml:space="preserve">numeral </w:t>
      </w:r>
      <w:r w:rsidRPr="00D615E5">
        <w:rPr>
          <w:rFonts w:ascii="Verdana" w:hAnsi="Verdana" w:cs="Arial"/>
          <w:sz w:val="20"/>
          <w:szCs w:val="20"/>
        </w:rPr>
        <w:t xml:space="preserve">2.2.6.3.7 del </w:t>
      </w:r>
      <w:r w:rsidR="00D615E5">
        <w:rPr>
          <w:rFonts w:ascii="Verdana" w:hAnsi="Verdana" w:cs="Arial"/>
          <w:sz w:val="20"/>
          <w:szCs w:val="20"/>
        </w:rPr>
        <w:t>c</w:t>
      </w:r>
      <w:r w:rsidRPr="00D615E5">
        <w:rPr>
          <w:rFonts w:ascii="Verdana" w:hAnsi="Verdana" w:cs="Arial"/>
          <w:sz w:val="20"/>
          <w:szCs w:val="20"/>
        </w:rPr>
        <w:t>apítulo II</w:t>
      </w:r>
      <w:r w:rsidR="00104F31" w:rsidRPr="00D615E5">
        <w:rPr>
          <w:rFonts w:ascii="Verdana" w:hAnsi="Verdana" w:cs="Arial"/>
          <w:sz w:val="20"/>
          <w:szCs w:val="20"/>
        </w:rPr>
        <w:t xml:space="preserve"> del </w:t>
      </w:r>
      <w:r w:rsidR="00D615E5">
        <w:rPr>
          <w:rFonts w:ascii="Verdana" w:hAnsi="Verdana" w:cs="Arial"/>
          <w:sz w:val="20"/>
          <w:szCs w:val="20"/>
        </w:rPr>
        <w:t>t</w:t>
      </w:r>
      <w:r w:rsidRPr="00D615E5">
        <w:rPr>
          <w:rFonts w:ascii="Verdana" w:hAnsi="Verdana" w:cs="Arial"/>
          <w:sz w:val="20"/>
          <w:szCs w:val="20"/>
        </w:rPr>
        <w:t>ítulo IV</w:t>
      </w:r>
      <w:r w:rsidR="00104F31" w:rsidRPr="00D615E5">
        <w:rPr>
          <w:rFonts w:ascii="Verdana" w:hAnsi="Verdana" w:cs="Arial"/>
          <w:sz w:val="20"/>
          <w:szCs w:val="20"/>
        </w:rPr>
        <w:t xml:space="preserve"> de la</w:t>
      </w:r>
      <w:r w:rsidRPr="00D615E5">
        <w:rPr>
          <w:rFonts w:ascii="Verdana" w:hAnsi="Verdana" w:cs="Arial"/>
          <w:sz w:val="20"/>
          <w:szCs w:val="20"/>
        </w:rPr>
        <w:t xml:space="preserve"> </w:t>
      </w:r>
      <w:r w:rsidR="00D615E5">
        <w:rPr>
          <w:rFonts w:ascii="Verdana" w:hAnsi="Verdana" w:cs="Arial"/>
          <w:sz w:val="20"/>
          <w:szCs w:val="20"/>
        </w:rPr>
        <w:t>p</w:t>
      </w:r>
      <w:r w:rsidRPr="00D615E5">
        <w:rPr>
          <w:rFonts w:ascii="Verdana" w:hAnsi="Verdana" w:cs="Arial"/>
          <w:sz w:val="20"/>
          <w:szCs w:val="20"/>
        </w:rPr>
        <w:t>arte II de la CBJ</w:t>
      </w:r>
      <w:r w:rsidRPr="00D9196E">
        <w:rPr>
          <w:rFonts w:ascii="Verdana" w:hAnsi="Verdana" w:cs="Arial"/>
          <w:sz w:val="20"/>
          <w:szCs w:val="20"/>
        </w:rPr>
        <w:t>.</w:t>
      </w:r>
    </w:p>
    <w:p w14:paraId="66905FFF" w14:textId="77777777" w:rsidR="00C537A5" w:rsidRDefault="00C537A5" w:rsidP="00C537A5">
      <w:pPr>
        <w:suppressAutoHyphens/>
        <w:spacing w:after="0" w:line="240" w:lineRule="auto"/>
        <w:jc w:val="both"/>
        <w:rPr>
          <w:rFonts w:ascii="Verdana" w:hAnsi="Verdana" w:cs="Arial"/>
          <w:b/>
          <w:bCs/>
          <w:spacing w:val="-3"/>
          <w:sz w:val="20"/>
          <w:szCs w:val="20"/>
        </w:rPr>
      </w:pPr>
    </w:p>
    <w:p w14:paraId="0E9C3E65" w14:textId="714B0875" w:rsidR="00EF2E73" w:rsidRPr="00C537A5" w:rsidRDefault="00EF3B9E" w:rsidP="00C537A5">
      <w:pPr>
        <w:suppressAutoHyphens/>
        <w:spacing w:after="0" w:line="240" w:lineRule="auto"/>
        <w:jc w:val="both"/>
        <w:rPr>
          <w:rFonts w:ascii="Verdana" w:hAnsi="Verdana" w:cs="Arial"/>
          <w:b/>
          <w:bCs/>
          <w:spacing w:val="-3"/>
          <w:sz w:val="20"/>
          <w:szCs w:val="20"/>
        </w:rPr>
      </w:pPr>
      <w:r w:rsidRPr="00C537A5">
        <w:rPr>
          <w:rFonts w:ascii="Verdana" w:hAnsi="Verdana" w:cs="Arial"/>
          <w:b/>
          <w:bCs/>
          <w:spacing w:val="-3"/>
          <w:sz w:val="20"/>
          <w:szCs w:val="20"/>
        </w:rPr>
        <w:t>Deterioro</w:t>
      </w:r>
      <w:r w:rsidR="00EF2E73" w:rsidRPr="00C537A5">
        <w:rPr>
          <w:rFonts w:ascii="Verdana" w:hAnsi="Verdana" w:cs="Arial"/>
          <w:b/>
          <w:bCs/>
          <w:spacing w:val="-3"/>
          <w:sz w:val="20"/>
          <w:szCs w:val="20"/>
        </w:rPr>
        <w:t xml:space="preserve"> por riesgo de crédito</w:t>
      </w:r>
    </w:p>
    <w:p w14:paraId="1B124F82"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5C3479D7"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2.1.A1.17. </w:t>
      </w:r>
    </w:p>
    <w:p w14:paraId="2880E527" w14:textId="24A800D4"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Las entidades aseguradoras deben </w:t>
      </w:r>
      <w:r w:rsidR="00655A8B" w:rsidRPr="00D9196E">
        <w:rPr>
          <w:rFonts w:ascii="Verdana" w:hAnsi="Verdana" w:cs="Arial"/>
          <w:spacing w:val="-3"/>
          <w:sz w:val="20"/>
          <w:szCs w:val="20"/>
        </w:rPr>
        <w:t xml:space="preserve">estimar y reconocer el </w:t>
      </w:r>
      <w:r w:rsidR="00EF3B9E" w:rsidRPr="00D9196E">
        <w:rPr>
          <w:rFonts w:ascii="Verdana" w:hAnsi="Verdana" w:cs="Arial"/>
          <w:spacing w:val="-3"/>
          <w:sz w:val="20"/>
          <w:szCs w:val="20"/>
        </w:rPr>
        <w:t>deterioro</w:t>
      </w:r>
      <w:r w:rsidRPr="00D9196E">
        <w:rPr>
          <w:rFonts w:ascii="Verdana" w:hAnsi="Verdana" w:cs="Arial"/>
          <w:spacing w:val="-3"/>
          <w:sz w:val="20"/>
          <w:szCs w:val="20"/>
        </w:rPr>
        <w:t xml:space="preserve"> </w:t>
      </w:r>
      <w:r w:rsidR="00655A8B" w:rsidRPr="00D9196E">
        <w:rPr>
          <w:rFonts w:ascii="Verdana" w:hAnsi="Verdana" w:cs="Arial"/>
          <w:spacing w:val="-3"/>
          <w:sz w:val="20"/>
          <w:szCs w:val="20"/>
        </w:rPr>
        <w:t>de</w:t>
      </w:r>
      <w:r w:rsidRPr="00D9196E">
        <w:rPr>
          <w:rFonts w:ascii="Verdana" w:hAnsi="Verdana" w:cs="Arial"/>
          <w:spacing w:val="-3"/>
          <w:sz w:val="20"/>
          <w:szCs w:val="20"/>
        </w:rPr>
        <w:t xml:space="preserve">l valor de los activos y sus flujos correspondientes, considerando la calificación de los emisores o contrapartes y demás circunstancias que consideren que puedan afectar la capacidad de pago </w:t>
      </w:r>
      <w:r w:rsidR="00C04FF5" w:rsidRPr="00D9196E">
        <w:rPr>
          <w:rFonts w:ascii="Verdana" w:hAnsi="Verdana" w:cs="Arial"/>
          <w:spacing w:val="-3"/>
          <w:sz w:val="20"/>
          <w:szCs w:val="20"/>
        </w:rPr>
        <w:t xml:space="preserve">futura </w:t>
      </w:r>
      <w:r w:rsidRPr="00D9196E">
        <w:rPr>
          <w:rFonts w:ascii="Verdana" w:hAnsi="Verdana" w:cs="Arial"/>
          <w:spacing w:val="-3"/>
          <w:sz w:val="20"/>
          <w:szCs w:val="20"/>
        </w:rPr>
        <w:t xml:space="preserve">de los mismos. Los títulos de deuda pública local no deben ser </w:t>
      </w:r>
      <w:r w:rsidR="007F09DD" w:rsidRPr="00D9196E">
        <w:rPr>
          <w:rFonts w:ascii="Verdana" w:hAnsi="Verdana" w:cs="Arial"/>
          <w:spacing w:val="-3"/>
          <w:sz w:val="20"/>
          <w:szCs w:val="20"/>
        </w:rPr>
        <w:t>deteriorados</w:t>
      </w:r>
      <w:r w:rsidRPr="00D9196E">
        <w:rPr>
          <w:rFonts w:ascii="Verdana" w:hAnsi="Verdana" w:cs="Arial"/>
          <w:spacing w:val="-3"/>
          <w:sz w:val="20"/>
          <w:szCs w:val="20"/>
        </w:rPr>
        <w:t xml:space="preserve"> por riesgo de crédito, al igual que los títulos con calificación local AAA o títulos con calificación internacional igual o superior al grado de inversión.</w:t>
      </w:r>
    </w:p>
    <w:p w14:paraId="73E3C21C"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14F19FD7" w14:textId="77777777" w:rsidR="00C537A5" w:rsidRDefault="00D9196E" w:rsidP="43C4F2FA">
      <w:pPr>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2.1.A1.18. </w:t>
      </w:r>
    </w:p>
    <w:p w14:paraId="039AAE2D" w14:textId="6433091E" w:rsidR="00EF2E73" w:rsidRPr="00D9196E" w:rsidRDefault="00EF2E73" w:rsidP="43C4F2FA">
      <w:pPr>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Los porcentajes de</w:t>
      </w:r>
      <w:r w:rsidR="007F09DD" w:rsidRPr="00D9196E">
        <w:rPr>
          <w:rFonts w:ascii="Verdana" w:hAnsi="Verdana" w:cs="Arial"/>
          <w:spacing w:val="-3"/>
          <w:sz w:val="20"/>
          <w:szCs w:val="20"/>
        </w:rPr>
        <w:t xml:space="preserve"> deterioro</w:t>
      </w:r>
      <w:r w:rsidRPr="00D9196E">
        <w:rPr>
          <w:rFonts w:ascii="Verdana" w:hAnsi="Verdana" w:cs="Arial"/>
          <w:spacing w:val="-3"/>
          <w:sz w:val="20"/>
          <w:szCs w:val="20"/>
        </w:rPr>
        <w:t xml:space="preserve"> que apliquen las entidades aseguradoras no deberán ser inferiores a las probabilidades de incumplimiento más </w:t>
      </w:r>
      <w:r w:rsidR="00CD4BDA" w:rsidRPr="00D9196E">
        <w:rPr>
          <w:rFonts w:ascii="Verdana" w:hAnsi="Verdana" w:cs="Arial"/>
          <w:spacing w:val="-3"/>
          <w:sz w:val="20"/>
          <w:szCs w:val="20"/>
        </w:rPr>
        <w:t>recientes,</w:t>
      </w:r>
      <w:r w:rsidRPr="00D9196E">
        <w:rPr>
          <w:rFonts w:ascii="Verdana" w:hAnsi="Verdana" w:cs="Arial"/>
          <w:spacing w:val="-3"/>
          <w:sz w:val="20"/>
          <w:szCs w:val="20"/>
        </w:rPr>
        <w:t xml:space="preserve"> según la calificación de riesgo específica del activo y su plazo al vencimiento. Siempre que exista una calificación de riesgo específica del activo local efectuada por una sociedad calificadora de riesgos vigilada por la SFC, se debe</w:t>
      </w:r>
      <w:r w:rsidR="0092324B" w:rsidRPr="00D9196E">
        <w:rPr>
          <w:rFonts w:ascii="Verdana" w:hAnsi="Verdana" w:cs="Arial"/>
          <w:spacing w:val="-3"/>
          <w:sz w:val="20"/>
          <w:szCs w:val="20"/>
        </w:rPr>
        <w:t xml:space="preserve"> </w:t>
      </w:r>
      <w:r w:rsidR="00935495" w:rsidRPr="00D9196E">
        <w:rPr>
          <w:rFonts w:ascii="Verdana" w:hAnsi="Verdana" w:cs="Arial"/>
          <w:spacing w:val="-3"/>
          <w:sz w:val="20"/>
          <w:szCs w:val="20"/>
        </w:rPr>
        <w:t xml:space="preserve">efectuar el reconocimiento del deterioro </w:t>
      </w:r>
      <w:r w:rsidRPr="00D9196E">
        <w:rPr>
          <w:rFonts w:ascii="Verdana" w:hAnsi="Verdana" w:cs="Arial"/>
          <w:spacing w:val="-3"/>
          <w:sz w:val="20"/>
          <w:szCs w:val="20"/>
        </w:rPr>
        <w:t xml:space="preserve">con base en la calificación local. En caso </w:t>
      </w:r>
      <w:r w:rsidR="0051432C" w:rsidRPr="00D9196E">
        <w:rPr>
          <w:rFonts w:ascii="Verdana" w:hAnsi="Verdana" w:cs="Arial"/>
          <w:spacing w:val="-3"/>
          <w:sz w:val="20"/>
          <w:szCs w:val="20"/>
        </w:rPr>
        <w:t xml:space="preserve">de </w:t>
      </w:r>
      <w:r w:rsidRPr="00D9196E">
        <w:rPr>
          <w:rFonts w:ascii="Verdana" w:hAnsi="Verdana" w:cs="Arial"/>
          <w:spacing w:val="-3"/>
          <w:sz w:val="20"/>
          <w:szCs w:val="20"/>
        </w:rPr>
        <w:t xml:space="preserve">que no exista una calificación </w:t>
      </w:r>
      <w:r w:rsidR="00206D60" w:rsidRPr="00D9196E">
        <w:rPr>
          <w:rFonts w:ascii="Verdana" w:hAnsi="Verdana" w:cs="Arial"/>
          <w:spacing w:val="-3"/>
          <w:sz w:val="20"/>
          <w:szCs w:val="20"/>
        </w:rPr>
        <w:t xml:space="preserve">local </w:t>
      </w:r>
      <w:r w:rsidRPr="00D9196E">
        <w:rPr>
          <w:rFonts w:ascii="Verdana" w:hAnsi="Verdana" w:cs="Arial"/>
          <w:spacing w:val="-3"/>
          <w:sz w:val="20"/>
          <w:szCs w:val="20"/>
        </w:rPr>
        <w:t xml:space="preserve">de riesgo específica del activo efectuada por una sociedad calificadora de riesgos autorizada por la SFC, se debe utilizar la calificación internacional efectuada por una sociedad calificadora de riesgos internacionalmente reconocida. </w:t>
      </w:r>
      <w:r w:rsidR="009E5D26" w:rsidRPr="00D9196E">
        <w:rPr>
          <w:rFonts w:ascii="Verdana" w:hAnsi="Verdana" w:cs="Arial"/>
          <w:spacing w:val="-3"/>
          <w:sz w:val="20"/>
          <w:szCs w:val="20"/>
        </w:rPr>
        <w:t>Cuando</w:t>
      </w:r>
      <w:r w:rsidRPr="00D9196E">
        <w:rPr>
          <w:rFonts w:ascii="Verdana" w:hAnsi="Verdana" w:cs="Arial"/>
          <w:spacing w:val="-3"/>
          <w:sz w:val="20"/>
          <w:szCs w:val="20"/>
        </w:rPr>
        <w:t xml:space="preserve"> no exista una calificación de riesgo específica del activo local, deberá tomarse la calificación del emisor para determinar los porcentajes de</w:t>
      </w:r>
      <w:r w:rsidR="00B6732C" w:rsidRPr="00D9196E">
        <w:rPr>
          <w:rFonts w:ascii="Verdana" w:hAnsi="Verdana" w:cs="Arial"/>
          <w:spacing w:val="-3"/>
          <w:sz w:val="20"/>
          <w:szCs w:val="20"/>
        </w:rPr>
        <w:t xml:space="preserve"> deterioro.</w:t>
      </w:r>
    </w:p>
    <w:p w14:paraId="6018AD84"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19B48436" w14:textId="77777777" w:rsidR="00C537A5" w:rsidRDefault="00D9196E" w:rsidP="43C4F2FA">
      <w:pPr>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2.1.A1.19. </w:t>
      </w:r>
    </w:p>
    <w:p w14:paraId="2DC5917F" w14:textId="148DA9B7" w:rsidR="00EF2E73" w:rsidRPr="00D9196E" w:rsidRDefault="00EF2E73" w:rsidP="43C4F2FA">
      <w:pPr>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Cuando un activo tenga dos calificaciones vigentes otorgadas por diferentes calificadoras de riesgo, se tomará la calificación más baja. Si exist</w:t>
      </w:r>
      <w:r w:rsidR="00800103" w:rsidRPr="00D9196E">
        <w:rPr>
          <w:rFonts w:ascii="Verdana" w:hAnsi="Verdana" w:cs="Arial"/>
          <w:spacing w:val="-3"/>
          <w:sz w:val="20"/>
          <w:szCs w:val="20"/>
        </w:rPr>
        <w:t>en</w:t>
      </w:r>
      <w:r w:rsidRPr="00D9196E">
        <w:rPr>
          <w:rFonts w:ascii="Verdana" w:hAnsi="Verdana" w:cs="Arial"/>
          <w:spacing w:val="-3"/>
          <w:sz w:val="20"/>
          <w:szCs w:val="20"/>
        </w:rPr>
        <w:t xml:space="preserve"> tres o más calificaciones, se deben considerar las dos calificaciones por riesgo más altas</w:t>
      </w:r>
      <w:r w:rsidR="00896E53" w:rsidRPr="00D9196E">
        <w:rPr>
          <w:rFonts w:ascii="Verdana" w:hAnsi="Verdana" w:cs="Arial"/>
          <w:spacing w:val="-3"/>
          <w:sz w:val="20"/>
          <w:szCs w:val="20"/>
        </w:rPr>
        <w:t xml:space="preserve"> y</w:t>
      </w:r>
      <w:r w:rsidRPr="00D9196E">
        <w:rPr>
          <w:rFonts w:ascii="Verdana" w:hAnsi="Verdana" w:cs="Arial"/>
          <w:spacing w:val="-3"/>
          <w:sz w:val="20"/>
          <w:szCs w:val="20"/>
        </w:rPr>
        <w:t xml:space="preserve">, si éstas arrojaran la misma calificación, </w:t>
      </w:r>
      <w:r w:rsidR="00C179A3" w:rsidRPr="00D9196E">
        <w:rPr>
          <w:rFonts w:ascii="Verdana" w:hAnsi="Verdana" w:cs="Arial"/>
          <w:spacing w:val="-3"/>
          <w:sz w:val="20"/>
          <w:szCs w:val="20"/>
        </w:rPr>
        <w:t xml:space="preserve">se </w:t>
      </w:r>
      <w:r w:rsidRPr="00D9196E">
        <w:rPr>
          <w:rFonts w:ascii="Verdana" w:hAnsi="Verdana" w:cs="Arial"/>
          <w:spacing w:val="-3"/>
          <w:sz w:val="20"/>
          <w:szCs w:val="20"/>
        </w:rPr>
        <w:t>debe tomar dicha calificación; si la calificación es diferente</w:t>
      </w:r>
      <w:r w:rsidR="006F219B" w:rsidRPr="00D9196E">
        <w:rPr>
          <w:rFonts w:ascii="Verdana" w:hAnsi="Verdana" w:cs="Arial"/>
          <w:spacing w:val="-3"/>
          <w:sz w:val="20"/>
          <w:szCs w:val="20"/>
        </w:rPr>
        <w:t xml:space="preserve">se </w:t>
      </w:r>
      <w:r w:rsidRPr="00D9196E">
        <w:rPr>
          <w:rFonts w:ascii="Verdana" w:hAnsi="Verdana" w:cs="Arial"/>
          <w:spacing w:val="-3"/>
          <w:sz w:val="20"/>
          <w:szCs w:val="20"/>
        </w:rPr>
        <w:t xml:space="preserve">debe </w:t>
      </w:r>
      <w:r w:rsidR="006F219B" w:rsidRPr="00D9196E">
        <w:rPr>
          <w:rFonts w:ascii="Verdana" w:hAnsi="Verdana" w:cs="Arial"/>
          <w:spacing w:val="-3"/>
          <w:sz w:val="20"/>
          <w:szCs w:val="20"/>
        </w:rPr>
        <w:t xml:space="preserve">hacer uso de </w:t>
      </w:r>
      <w:r w:rsidRPr="00D9196E">
        <w:rPr>
          <w:rFonts w:ascii="Verdana" w:hAnsi="Verdana" w:cs="Arial"/>
          <w:spacing w:val="-3"/>
          <w:sz w:val="20"/>
          <w:szCs w:val="20"/>
        </w:rPr>
        <w:t xml:space="preserve"> la más baja.</w:t>
      </w:r>
    </w:p>
    <w:p w14:paraId="0F6B883C"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77C4AF54" w14:textId="77777777" w:rsidR="00C537A5" w:rsidRDefault="00D9196E" w:rsidP="00EF2E73">
      <w:pPr>
        <w:tabs>
          <w:tab w:val="left" w:pos="-720"/>
        </w:tabs>
        <w:suppressAutoHyphens/>
        <w:spacing w:after="0" w:line="240" w:lineRule="auto"/>
        <w:jc w:val="both"/>
        <w:rPr>
          <w:rFonts w:ascii="Verdana" w:hAnsi="Verdana" w:cs="Arial"/>
          <w:spacing w:val="-3"/>
          <w:sz w:val="20"/>
          <w:szCs w:val="20"/>
        </w:rPr>
      </w:pPr>
      <w:r>
        <w:rPr>
          <w:rFonts w:ascii="Verdana" w:hAnsi="Verdana" w:cs="Arial"/>
          <w:spacing w:val="-3"/>
          <w:sz w:val="20"/>
          <w:szCs w:val="20"/>
        </w:rPr>
        <w:t xml:space="preserve">2.1.A1.20. </w:t>
      </w:r>
    </w:p>
    <w:p w14:paraId="2B562A22" w14:textId="3D40BDF8"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r w:rsidRPr="00D9196E">
        <w:rPr>
          <w:rFonts w:ascii="Verdana" w:hAnsi="Verdana" w:cs="Arial"/>
          <w:spacing w:val="-3"/>
          <w:sz w:val="20"/>
          <w:szCs w:val="20"/>
        </w:rPr>
        <w:t xml:space="preserve">Para el caso de las participaciones en títulos participativos, fondos de inversión, </w:t>
      </w:r>
      <w:r w:rsidR="00C404AD" w:rsidRPr="00D9196E">
        <w:rPr>
          <w:rFonts w:ascii="Verdana" w:hAnsi="Verdana" w:cs="Arial"/>
          <w:spacing w:val="-3"/>
          <w:sz w:val="20"/>
          <w:szCs w:val="20"/>
        </w:rPr>
        <w:t xml:space="preserve">fondos bursátiles o </w:t>
      </w:r>
      <w:r w:rsidRPr="00D9196E">
        <w:rPr>
          <w:rFonts w:ascii="Verdana" w:hAnsi="Verdana" w:cs="Arial"/>
          <w:spacing w:val="-3"/>
          <w:sz w:val="20"/>
          <w:szCs w:val="20"/>
        </w:rPr>
        <w:t xml:space="preserve">ETF o fondos de capital privado, para determinar los porcentajes de </w:t>
      </w:r>
      <w:r w:rsidR="0081035F" w:rsidRPr="00D9196E">
        <w:rPr>
          <w:rFonts w:ascii="Verdana" w:hAnsi="Verdana" w:cs="Arial"/>
          <w:spacing w:val="-3"/>
          <w:sz w:val="20"/>
          <w:szCs w:val="20"/>
        </w:rPr>
        <w:t>deterioro</w:t>
      </w:r>
      <w:r w:rsidRPr="00D9196E">
        <w:rPr>
          <w:rFonts w:ascii="Verdana" w:hAnsi="Verdana" w:cs="Arial"/>
          <w:spacing w:val="-3"/>
          <w:sz w:val="20"/>
          <w:szCs w:val="20"/>
        </w:rPr>
        <w:t xml:space="preserve">, las entidades pueden remitirse a la calificación crediticia de los activos subyacentes según su plazo al vencimiento. En caso de no conocer los activos subyacentes, </w:t>
      </w:r>
      <w:r w:rsidR="0081035F" w:rsidRPr="00D9196E">
        <w:rPr>
          <w:rFonts w:ascii="Verdana" w:hAnsi="Verdana" w:cs="Arial"/>
          <w:spacing w:val="-3"/>
          <w:sz w:val="20"/>
          <w:szCs w:val="20"/>
        </w:rPr>
        <w:t xml:space="preserve">se </w:t>
      </w:r>
      <w:r w:rsidRPr="00D9196E">
        <w:rPr>
          <w:rFonts w:ascii="Verdana" w:hAnsi="Verdana" w:cs="Arial"/>
          <w:spacing w:val="-3"/>
          <w:sz w:val="20"/>
          <w:szCs w:val="20"/>
        </w:rPr>
        <w:t>debe</w:t>
      </w:r>
      <w:r w:rsidR="0081035F" w:rsidRPr="00D9196E">
        <w:rPr>
          <w:rFonts w:ascii="Verdana" w:hAnsi="Verdana" w:cs="Arial"/>
          <w:spacing w:val="-3"/>
          <w:sz w:val="20"/>
          <w:szCs w:val="20"/>
        </w:rPr>
        <w:t xml:space="preserve"> </w:t>
      </w:r>
      <w:r w:rsidRPr="00D9196E">
        <w:rPr>
          <w:rFonts w:ascii="Verdana" w:hAnsi="Verdana" w:cs="Arial"/>
          <w:spacing w:val="-3"/>
          <w:sz w:val="20"/>
          <w:szCs w:val="20"/>
        </w:rPr>
        <w:t xml:space="preserve">tomar </w:t>
      </w:r>
      <w:r w:rsidR="0081035F" w:rsidRPr="00D9196E">
        <w:rPr>
          <w:rFonts w:ascii="Verdana" w:hAnsi="Verdana" w:cs="Arial"/>
          <w:spacing w:val="-3"/>
          <w:sz w:val="20"/>
          <w:szCs w:val="20"/>
        </w:rPr>
        <w:t xml:space="preserve">el deterioro </w:t>
      </w:r>
      <w:r w:rsidRPr="00D9196E">
        <w:rPr>
          <w:rFonts w:ascii="Verdana" w:hAnsi="Verdana" w:cs="Arial"/>
          <w:spacing w:val="-3"/>
          <w:sz w:val="20"/>
          <w:szCs w:val="20"/>
        </w:rPr>
        <w:t>correspondiente a títulos de grado especulativo, al menor plazo disponible.</w:t>
      </w:r>
    </w:p>
    <w:p w14:paraId="239B2701" w14:textId="77777777" w:rsidR="00EF2E73" w:rsidRPr="00D9196E" w:rsidRDefault="00EF2E73" w:rsidP="00EF2E73">
      <w:pPr>
        <w:tabs>
          <w:tab w:val="left" w:pos="-720"/>
        </w:tabs>
        <w:suppressAutoHyphens/>
        <w:spacing w:after="0" w:line="240" w:lineRule="auto"/>
        <w:jc w:val="both"/>
        <w:rPr>
          <w:rFonts w:ascii="Verdana" w:hAnsi="Verdana" w:cs="Arial"/>
          <w:spacing w:val="-3"/>
          <w:sz w:val="20"/>
          <w:szCs w:val="20"/>
        </w:rPr>
      </w:pPr>
    </w:p>
    <w:p w14:paraId="0D0B042E" w14:textId="77777777" w:rsidR="00C537A5" w:rsidRDefault="00D9196E" w:rsidP="00482B2A">
      <w:pPr>
        <w:spacing w:after="0" w:line="240" w:lineRule="auto"/>
        <w:jc w:val="both"/>
        <w:rPr>
          <w:rFonts w:ascii="Verdana" w:hAnsi="Verdana" w:cs="Arial"/>
          <w:spacing w:val="-3"/>
          <w:sz w:val="20"/>
          <w:szCs w:val="20"/>
        </w:rPr>
      </w:pPr>
      <w:r>
        <w:rPr>
          <w:rFonts w:ascii="Verdana" w:hAnsi="Verdana" w:cs="Arial"/>
          <w:spacing w:val="-3"/>
          <w:sz w:val="20"/>
          <w:szCs w:val="20"/>
        </w:rPr>
        <w:t xml:space="preserve">2.1.A1.21. </w:t>
      </w:r>
    </w:p>
    <w:p w14:paraId="3B20B472" w14:textId="4F871A5B" w:rsidR="00482B2A" w:rsidRPr="00D9196E" w:rsidRDefault="00EF2E73" w:rsidP="00482B2A">
      <w:pPr>
        <w:spacing w:after="0" w:line="240" w:lineRule="auto"/>
        <w:jc w:val="both"/>
        <w:rPr>
          <w:rFonts w:ascii="Verdana" w:hAnsi="Verdana" w:cs="Arial"/>
          <w:spacing w:val="-3"/>
          <w:sz w:val="20"/>
          <w:szCs w:val="20"/>
        </w:rPr>
      </w:pPr>
      <w:r w:rsidRPr="00D9196E">
        <w:rPr>
          <w:rFonts w:ascii="Verdana" w:hAnsi="Verdana" w:cs="Arial"/>
          <w:spacing w:val="-3"/>
          <w:sz w:val="20"/>
          <w:szCs w:val="20"/>
        </w:rPr>
        <w:t>En todo caso, la entidad aseguradora debe mantener a disposición de la SFC los porcentajes de</w:t>
      </w:r>
      <w:r w:rsidR="009E4832" w:rsidRPr="00D9196E">
        <w:rPr>
          <w:rFonts w:ascii="Verdana" w:hAnsi="Verdana" w:cs="Arial"/>
          <w:spacing w:val="-3"/>
          <w:sz w:val="20"/>
          <w:szCs w:val="20"/>
        </w:rPr>
        <w:t xml:space="preserve"> deterioro</w:t>
      </w:r>
      <w:r w:rsidRPr="00D9196E">
        <w:rPr>
          <w:rFonts w:ascii="Verdana" w:hAnsi="Verdana" w:cs="Arial"/>
          <w:spacing w:val="-3"/>
          <w:sz w:val="20"/>
          <w:szCs w:val="20"/>
        </w:rPr>
        <w:t xml:space="preserve"> aplicados al valor del activo y sus flujos correspondientes, así como la metodología utilizada para su determinación.</w:t>
      </w:r>
    </w:p>
    <w:p w14:paraId="6A991605" w14:textId="77777777" w:rsidR="00C537A5" w:rsidRDefault="00C537A5" w:rsidP="00C537A5">
      <w:pPr>
        <w:spacing w:after="0" w:line="240" w:lineRule="auto"/>
        <w:jc w:val="both"/>
        <w:rPr>
          <w:rFonts w:ascii="Verdana" w:hAnsi="Verdana" w:cs="Arial"/>
          <w:b/>
          <w:bCs/>
          <w:sz w:val="20"/>
          <w:szCs w:val="20"/>
        </w:rPr>
      </w:pPr>
    </w:p>
    <w:p w14:paraId="2A02EA66" w14:textId="14610F6A" w:rsidR="00BE32B4" w:rsidRPr="00C537A5" w:rsidRDefault="00D9196E" w:rsidP="00C537A5">
      <w:pPr>
        <w:spacing w:after="0" w:line="240" w:lineRule="auto"/>
        <w:jc w:val="both"/>
        <w:rPr>
          <w:rFonts w:ascii="Verdana" w:hAnsi="Verdana" w:cs="Arial"/>
          <w:b/>
          <w:bCs/>
          <w:sz w:val="20"/>
          <w:szCs w:val="20"/>
        </w:rPr>
      </w:pPr>
      <w:r w:rsidRPr="00C537A5">
        <w:rPr>
          <w:rFonts w:ascii="Verdana" w:hAnsi="Verdana" w:cs="Arial"/>
          <w:b/>
          <w:bCs/>
          <w:sz w:val="20"/>
          <w:szCs w:val="20"/>
        </w:rPr>
        <w:t>SUFICIENCIA O INSUFICIENCIA POR TRAMOS:</w:t>
      </w:r>
    </w:p>
    <w:p w14:paraId="58011393" w14:textId="77777777" w:rsidR="00BE32B4" w:rsidRPr="00D9196E" w:rsidRDefault="00BE32B4" w:rsidP="00BE5065">
      <w:pPr>
        <w:spacing w:after="0" w:line="240" w:lineRule="auto"/>
        <w:jc w:val="both"/>
        <w:rPr>
          <w:rFonts w:ascii="Verdana" w:hAnsi="Verdana" w:cs="Arial"/>
          <w:b/>
          <w:sz w:val="20"/>
          <w:szCs w:val="20"/>
          <w:lang w:val="es-ES_tradnl"/>
        </w:rPr>
      </w:pPr>
    </w:p>
    <w:p w14:paraId="37816669" w14:textId="77777777" w:rsidR="00C537A5" w:rsidRDefault="00D9196E" w:rsidP="43C4F2FA">
      <w:pPr>
        <w:spacing w:after="0" w:line="240" w:lineRule="auto"/>
        <w:jc w:val="both"/>
        <w:rPr>
          <w:rFonts w:ascii="Verdana" w:hAnsi="Verdana" w:cs="Arial"/>
          <w:spacing w:val="-3"/>
          <w:sz w:val="20"/>
          <w:szCs w:val="20"/>
        </w:rPr>
      </w:pPr>
      <w:r>
        <w:rPr>
          <w:rFonts w:ascii="Verdana" w:hAnsi="Verdana" w:cs="Arial"/>
          <w:spacing w:val="-3"/>
          <w:sz w:val="20"/>
          <w:szCs w:val="20"/>
        </w:rPr>
        <w:t xml:space="preserve">2.1.A1.22. </w:t>
      </w:r>
    </w:p>
    <w:p w14:paraId="3BDF7195" w14:textId="7AAC1A7F" w:rsidR="007F078E" w:rsidRPr="00D9196E" w:rsidRDefault="007F078E" w:rsidP="43C4F2FA">
      <w:pPr>
        <w:spacing w:after="0" w:line="240" w:lineRule="auto"/>
        <w:jc w:val="both"/>
        <w:rPr>
          <w:rFonts w:ascii="Verdana" w:hAnsi="Verdana" w:cs="Arial"/>
          <w:b/>
          <w:bCs/>
          <w:sz w:val="20"/>
          <w:szCs w:val="20"/>
        </w:rPr>
      </w:pPr>
      <w:r w:rsidRPr="00D9196E">
        <w:rPr>
          <w:rFonts w:ascii="Verdana" w:hAnsi="Verdana" w:cs="Arial"/>
          <w:sz w:val="20"/>
          <w:szCs w:val="20"/>
        </w:rPr>
        <w:t>Una vez definido el tratamiento de los activos y pasivos, se debe</w:t>
      </w:r>
      <w:r w:rsidR="00E17E1A" w:rsidRPr="00D9196E">
        <w:rPr>
          <w:rFonts w:ascii="Verdana" w:hAnsi="Verdana" w:cs="Arial"/>
          <w:sz w:val="20"/>
          <w:szCs w:val="20"/>
        </w:rPr>
        <w:t>n</w:t>
      </w:r>
      <w:r w:rsidRPr="00D9196E">
        <w:rPr>
          <w:rFonts w:ascii="Verdana" w:hAnsi="Verdana" w:cs="Arial"/>
          <w:sz w:val="20"/>
          <w:szCs w:val="20"/>
        </w:rPr>
        <w:t xml:space="preserve"> agrupar los flujos según su plazo al vencimiento por tramos.</w:t>
      </w:r>
    </w:p>
    <w:p w14:paraId="1EDEFEF4" w14:textId="77777777" w:rsidR="00BE32B4" w:rsidRPr="00D9196E" w:rsidRDefault="00BE32B4" w:rsidP="00F81212">
      <w:pPr>
        <w:spacing w:after="0" w:line="240" w:lineRule="auto"/>
        <w:jc w:val="both"/>
        <w:rPr>
          <w:rFonts w:ascii="Verdana" w:eastAsia="Times New Roman" w:hAnsi="Verdana" w:cs="Arial"/>
          <w:sz w:val="20"/>
          <w:szCs w:val="20"/>
          <w:lang w:val="es-ES_tradnl" w:eastAsia="es-CO"/>
        </w:rPr>
      </w:pPr>
    </w:p>
    <w:p w14:paraId="6691AF22" w14:textId="77777777" w:rsidR="00C537A5" w:rsidRDefault="00D9196E" w:rsidP="43C4F2FA">
      <w:pPr>
        <w:spacing w:after="0" w:line="240" w:lineRule="auto"/>
        <w:jc w:val="both"/>
        <w:rPr>
          <w:rFonts w:ascii="Verdana" w:hAnsi="Verdana" w:cs="Arial"/>
          <w:spacing w:val="-3"/>
          <w:sz w:val="20"/>
          <w:szCs w:val="20"/>
        </w:rPr>
      </w:pPr>
      <w:r>
        <w:rPr>
          <w:rFonts w:ascii="Verdana" w:hAnsi="Verdana" w:cs="Arial"/>
          <w:spacing w:val="-3"/>
          <w:sz w:val="20"/>
          <w:szCs w:val="20"/>
        </w:rPr>
        <w:t xml:space="preserve">2.1.A1.23. </w:t>
      </w:r>
    </w:p>
    <w:p w14:paraId="7491551E" w14:textId="4F7189F3" w:rsidR="007F078E" w:rsidRPr="00D9196E" w:rsidRDefault="007F078E" w:rsidP="43C4F2FA">
      <w:pPr>
        <w:spacing w:after="0" w:line="240" w:lineRule="auto"/>
        <w:jc w:val="both"/>
        <w:rPr>
          <w:rFonts w:ascii="Verdana" w:eastAsia="Times New Roman" w:hAnsi="Verdana" w:cs="Arial"/>
          <w:sz w:val="20"/>
          <w:szCs w:val="20"/>
          <w:lang w:eastAsia="es-CO"/>
        </w:rPr>
      </w:pPr>
      <w:r w:rsidRPr="00D9196E">
        <w:rPr>
          <w:rFonts w:ascii="Verdana" w:eastAsia="Times New Roman" w:hAnsi="Verdana" w:cs="Arial"/>
          <w:sz w:val="20"/>
          <w:szCs w:val="20"/>
          <w:lang w:eastAsia="es-CO"/>
        </w:rPr>
        <w:t>Los tramos</w:t>
      </w:r>
      <w:r w:rsidR="00024446" w:rsidRPr="00D9196E">
        <w:rPr>
          <w:rFonts w:ascii="Verdana" w:eastAsia="Times New Roman" w:hAnsi="Verdana" w:cs="Arial"/>
          <w:sz w:val="20"/>
          <w:szCs w:val="20"/>
          <w:lang w:eastAsia="es-CO"/>
        </w:rPr>
        <w:t xml:space="preserve"> anuales</w:t>
      </w:r>
      <w:r w:rsidRPr="00D9196E">
        <w:rPr>
          <w:rFonts w:ascii="Verdana" w:eastAsia="Times New Roman" w:hAnsi="Verdana" w:cs="Arial"/>
          <w:sz w:val="20"/>
          <w:szCs w:val="20"/>
          <w:lang w:eastAsia="es-CO"/>
        </w:rPr>
        <w:t xml:space="preserve"> deben agrupar los flujos según los días al vencimiento</w:t>
      </w:r>
      <w:r w:rsidR="0078732C" w:rsidRPr="00D9196E">
        <w:rPr>
          <w:rFonts w:ascii="Verdana" w:eastAsia="Times New Roman" w:hAnsi="Verdana" w:cs="Arial"/>
          <w:sz w:val="20"/>
          <w:szCs w:val="20"/>
          <w:lang w:eastAsia="es-CO"/>
        </w:rPr>
        <w:t xml:space="preserve"> (en base 365)</w:t>
      </w:r>
      <w:r w:rsidRPr="00D9196E">
        <w:rPr>
          <w:rFonts w:ascii="Verdana" w:eastAsia="Times New Roman" w:hAnsi="Verdana" w:cs="Arial"/>
          <w:sz w:val="20"/>
          <w:szCs w:val="20"/>
          <w:lang w:eastAsia="es-CO"/>
        </w:rPr>
        <w:t xml:space="preserve"> contados</w:t>
      </w:r>
      <w:r w:rsidRPr="00D9196E">
        <w:rPr>
          <w:rFonts w:ascii="Verdana" w:hAnsi="Verdana" w:cs="Arial"/>
          <w:sz w:val="20"/>
          <w:szCs w:val="20"/>
        </w:rPr>
        <w:t xml:space="preserve"> a partir del último día calendario del trimestre correspondiente, </w:t>
      </w:r>
      <w:r w:rsidR="00024446" w:rsidRPr="00D9196E">
        <w:rPr>
          <w:rFonts w:ascii="Verdana" w:hAnsi="Verdana" w:cs="Arial"/>
          <w:sz w:val="20"/>
          <w:szCs w:val="20"/>
        </w:rPr>
        <w:t>de conformidad con el siguiente ejemplo</w:t>
      </w:r>
      <w:r w:rsidRPr="00D9196E">
        <w:rPr>
          <w:rFonts w:ascii="Verdana" w:hAnsi="Verdana" w:cs="Arial"/>
          <w:sz w:val="20"/>
          <w:szCs w:val="20"/>
        </w:rPr>
        <w:t>:</w:t>
      </w:r>
    </w:p>
    <w:p w14:paraId="3BDF719A" w14:textId="77777777" w:rsidR="007F078E" w:rsidRPr="00D9196E" w:rsidRDefault="007F078E" w:rsidP="00F81212">
      <w:pPr>
        <w:spacing w:after="0" w:line="240" w:lineRule="auto"/>
        <w:jc w:val="both"/>
        <w:rPr>
          <w:rFonts w:ascii="Verdana" w:hAnsi="Verdana" w:cs="Arial"/>
          <w:sz w:val="20"/>
          <w:szCs w:val="20"/>
          <w:lang w:val="es-ES_tradnl"/>
        </w:rPr>
      </w:pPr>
    </w:p>
    <w:tbl>
      <w:tblPr>
        <w:tblW w:w="6870" w:type="dxa"/>
        <w:jc w:val="center"/>
        <w:tblCellMar>
          <w:left w:w="70" w:type="dxa"/>
          <w:right w:w="70" w:type="dxa"/>
        </w:tblCellMar>
        <w:tblLook w:val="04A0" w:firstRow="1" w:lastRow="0" w:firstColumn="1" w:lastColumn="0" w:noHBand="0" w:noVBand="1"/>
      </w:tblPr>
      <w:tblGrid>
        <w:gridCol w:w="859"/>
        <w:gridCol w:w="6146"/>
      </w:tblGrid>
      <w:tr w:rsidR="007F078E" w:rsidRPr="00D9196E" w14:paraId="3BDF719D" w14:textId="77777777" w:rsidTr="008C73A1">
        <w:trPr>
          <w:trHeight w:val="300"/>
          <w:tblHeader/>
          <w:jc w:val="center"/>
        </w:trPr>
        <w:tc>
          <w:tcPr>
            <w:tcW w:w="7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BDF719B" w14:textId="77777777" w:rsidR="007F078E" w:rsidRPr="00D9196E" w:rsidRDefault="007F078E" w:rsidP="00F81212">
            <w:pPr>
              <w:spacing w:after="0" w:line="240" w:lineRule="auto"/>
              <w:jc w:val="center"/>
              <w:rPr>
                <w:rFonts w:ascii="Verdana" w:eastAsia="Times New Roman" w:hAnsi="Verdana" w:cs="Arial"/>
                <w:b/>
                <w:color w:val="000000"/>
                <w:sz w:val="20"/>
                <w:szCs w:val="20"/>
                <w:lang w:eastAsia="es-ES"/>
              </w:rPr>
            </w:pPr>
            <w:r w:rsidRPr="00D9196E">
              <w:rPr>
                <w:rFonts w:ascii="Verdana" w:eastAsia="Times New Roman" w:hAnsi="Verdana" w:cs="Arial"/>
                <w:b/>
                <w:color w:val="000000"/>
                <w:sz w:val="20"/>
                <w:szCs w:val="20"/>
                <w:lang w:eastAsia="es-ES"/>
              </w:rPr>
              <w:t>Tramo</w:t>
            </w:r>
          </w:p>
        </w:tc>
        <w:tc>
          <w:tcPr>
            <w:tcW w:w="614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F719C" w14:textId="77777777" w:rsidR="007F078E" w:rsidRPr="00D9196E" w:rsidRDefault="007F078E" w:rsidP="00F81212">
            <w:pPr>
              <w:spacing w:after="0" w:line="240" w:lineRule="auto"/>
              <w:jc w:val="center"/>
              <w:rPr>
                <w:rFonts w:ascii="Verdana" w:eastAsia="Times New Roman" w:hAnsi="Verdana" w:cs="Arial"/>
                <w:b/>
                <w:color w:val="000000"/>
                <w:sz w:val="20"/>
                <w:szCs w:val="20"/>
                <w:lang w:eastAsia="es-ES"/>
              </w:rPr>
            </w:pPr>
            <w:r w:rsidRPr="00D9196E">
              <w:rPr>
                <w:rFonts w:ascii="Verdana" w:eastAsia="Times New Roman" w:hAnsi="Verdana" w:cs="Arial"/>
                <w:b/>
                <w:color w:val="000000"/>
                <w:sz w:val="20"/>
                <w:szCs w:val="20"/>
                <w:lang w:eastAsia="es-ES"/>
              </w:rPr>
              <w:t>Plazo al vencimiento</w:t>
            </w:r>
          </w:p>
        </w:tc>
      </w:tr>
      <w:tr w:rsidR="007F078E" w:rsidRPr="00D9196E" w14:paraId="3BDF71A0" w14:textId="77777777" w:rsidTr="00151AB4">
        <w:trPr>
          <w:trHeight w:val="300"/>
          <w:jc w:val="center"/>
        </w:trPr>
        <w:tc>
          <w:tcPr>
            <w:tcW w:w="724" w:type="dxa"/>
            <w:tcBorders>
              <w:top w:val="nil"/>
              <w:left w:val="single" w:sz="4" w:space="0" w:color="auto"/>
              <w:bottom w:val="single" w:sz="4" w:space="0" w:color="auto"/>
              <w:right w:val="single" w:sz="4" w:space="0" w:color="auto"/>
            </w:tcBorders>
            <w:noWrap/>
            <w:vAlign w:val="center"/>
            <w:hideMark/>
          </w:tcPr>
          <w:p w14:paraId="3BDF719E" w14:textId="77777777" w:rsidR="007F078E" w:rsidRPr="00D9196E" w:rsidRDefault="007F078E" w:rsidP="00F81212">
            <w:pPr>
              <w:spacing w:after="0" w:line="240" w:lineRule="auto"/>
              <w:jc w:val="center"/>
              <w:rPr>
                <w:rFonts w:ascii="Verdana" w:eastAsia="Times New Roman" w:hAnsi="Verdana" w:cs="Arial"/>
                <w:color w:val="000000"/>
                <w:sz w:val="20"/>
                <w:szCs w:val="20"/>
                <w:lang w:eastAsia="es-ES"/>
              </w:rPr>
            </w:pPr>
            <w:r w:rsidRPr="00D9196E">
              <w:rPr>
                <w:rFonts w:ascii="Verdana" w:eastAsia="Times New Roman" w:hAnsi="Verdana" w:cs="Arial"/>
                <w:color w:val="000000"/>
                <w:sz w:val="20"/>
                <w:szCs w:val="20"/>
                <w:lang w:val="es-ES_tradnl" w:eastAsia="es-ES"/>
              </w:rPr>
              <w:t>1</w:t>
            </w:r>
          </w:p>
        </w:tc>
        <w:tc>
          <w:tcPr>
            <w:tcW w:w="6146" w:type="dxa"/>
            <w:tcBorders>
              <w:top w:val="nil"/>
              <w:left w:val="nil"/>
              <w:bottom w:val="single" w:sz="4" w:space="0" w:color="auto"/>
              <w:right w:val="single" w:sz="4" w:space="0" w:color="auto"/>
            </w:tcBorders>
            <w:noWrap/>
            <w:vAlign w:val="center"/>
            <w:hideMark/>
          </w:tcPr>
          <w:p w14:paraId="3BDF719F" w14:textId="2C9D7E6C" w:rsidR="007F078E" w:rsidRPr="00D9196E" w:rsidRDefault="00CC2F2B" w:rsidP="00F81212">
            <w:pPr>
              <w:spacing w:after="0" w:line="240" w:lineRule="auto"/>
              <w:jc w:val="both"/>
              <w:rPr>
                <w:rFonts w:ascii="Verdana" w:eastAsia="Times New Roman" w:hAnsi="Verdana" w:cs="Arial"/>
                <w:color w:val="000000"/>
                <w:sz w:val="20"/>
                <w:szCs w:val="20"/>
                <w:lang w:eastAsia="es-ES"/>
              </w:rPr>
            </w:pPr>
            <w:r w:rsidRPr="00D9196E">
              <w:rPr>
                <w:rFonts w:ascii="Verdana" w:eastAsia="Times New Roman" w:hAnsi="Verdana" w:cs="Arial"/>
                <w:color w:val="000000"/>
                <w:sz w:val="20"/>
                <w:szCs w:val="20"/>
                <w:lang w:eastAsia="es-ES"/>
              </w:rPr>
              <w:t xml:space="preserve">Desde </w:t>
            </w:r>
            <w:r w:rsidR="007F078E" w:rsidRPr="00D9196E">
              <w:rPr>
                <w:rFonts w:ascii="Verdana" w:eastAsia="Times New Roman" w:hAnsi="Verdana" w:cs="Arial"/>
                <w:color w:val="000000"/>
                <w:sz w:val="20"/>
                <w:szCs w:val="20"/>
                <w:lang w:eastAsia="es-ES"/>
              </w:rPr>
              <w:t xml:space="preserve">0 </w:t>
            </w:r>
            <w:r w:rsidRPr="00D9196E">
              <w:rPr>
                <w:rFonts w:ascii="Verdana" w:eastAsia="Times New Roman" w:hAnsi="Verdana" w:cs="Arial"/>
                <w:color w:val="000000"/>
                <w:sz w:val="20"/>
                <w:szCs w:val="20"/>
                <w:lang w:eastAsia="es-ES"/>
              </w:rPr>
              <w:t>hasta</w:t>
            </w:r>
            <w:r w:rsidR="007F078E" w:rsidRPr="00D9196E">
              <w:rPr>
                <w:rFonts w:ascii="Verdana" w:eastAsia="Times New Roman" w:hAnsi="Verdana" w:cs="Arial"/>
                <w:color w:val="000000"/>
                <w:sz w:val="20"/>
                <w:szCs w:val="20"/>
                <w:lang w:eastAsia="es-ES"/>
              </w:rPr>
              <w:t xml:space="preserve"> 365 días</w:t>
            </w:r>
          </w:p>
        </w:tc>
      </w:tr>
      <w:tr w:rsidR="007F078E" w:rsidRPr="00D9196E" w14:paraId="3BDF71A3" w14:textId="77777777" w:rsidTr="00151AB4">
        <w:trPr>
          <w:trHeight w:val="300"/>
          <w:jc w:val="center"/>
        </w:trPr>
        <w:tc>
          <w:tcPr>
            <w:tcW w:w="724" w:type="dxa"/>
            <w:tcBorders>
              <w:top w:val="nil"/>
              <w:left w:val="single" w:sz="4" w:space="0" w:color="auto"/>
              <w:bottom w:val="single" w:sz="4" w:space="0" w:color="auto"/>
              <w:right w:val="single" w:sz="4" w:space="0" w:color="auto"/>
            </w:tcBorders>
            <w:noWrap/>
            <w:vAlign w:val="center"/>
            <w:hideMark/>
          </w:tcPr>
          <w:p w14:paraId="3BDF71A1" w14:textId="77777777" w:rsidR="007F078E" w:rsidRPr="00D9196E" w:rsidRDefault="007F078E" w:rsidP="00F81212">
            <w:pPr>
              <w:spacing w:after="0" w:line="240" w:lineRule="auto"/>
              <w:jc w:val="center"/>
              <w:rPr>
                <w:rFonts w:ascii="Verdana" w:eastAsia="Times New Roman" w:hAnsi="Verdana" w:cs="Arial"/>
                <w:color w:val="000000"/>
                <w:sz w:val="20"/>
                <w:szCs w:val="20"/>
                <w:lang w:eastAsia="es-ES"/>
              </w:rPr>
            </w:pPr>
            <w:r w:rsidRPr="00D9196E">
              <w:rPr>
                <w:rFonts w:ascii="Verdana" w:eastAsia="Times New Roman" w:hAnsi="Verdana" w:cs="Arial"/>
                <w:color w:val="000000"/>
                <w:sz w:val="20"/>
                <w:szCs w:val="20"/>
                <w:lang w:val="es-ES_tradnl" w:eastAsia="es-ES"/>
              </w:rPr>
              <w:t>2</w:t>
            </w:r>
          </w:p>
        </w:tc>
        <w:tc>
          <w:tcPr>
            <w:tcW w:w="6146" w:type="dxa"/>
            <w:tcBorders>
              <w:top w:val="nil"/>
              <w:left w:val="nil"/>
              <w:bottom w:val="single" w:sz="4" w:space="0" w:color="auto"/>
              <w:right w:val="single" w:sz="4" w:space="0" w:color="auto"/>
            </w:tcBorders>
            <w:noWrap/>
            <w:vAlign w:val="center"/>
            <w:hideMark/>
          </w:tcPr>
          <w:p w14:paraId="3BDF71A2" w14:textId="16A9647F" w:rsidR="007F078E" w:rsidRPr="00D9196E" w:rsidRDefault="00CC2F2B" w:rsidP="00F81212">
            <w:pPr>
              <w:spacing w:after="0" w:line="240" w:lineRule="auto"/>
              <w:jc w:val="both"/>
              <w:rPr>
                <w:rFonts w:ascii="Verdana" w:eastAsia="Times New Roman" w:hAnsi="Verdana" w:cs="Arial"/>
                <w:color w:val="000000"/>
                <w:sz w:val="20"/>
                <w:szCs w:val="20"/>
                <w:lang w:eastAsia="es-ES"/>
              </w:rPr>
            </w:pPr>
            <w:r w:rsidRPr="00D9196E">
              <w:rPr>
                <w:rFonts w:ascii="Verdana" w:eastAsia="Times New Roman" w:hAnsi="Verdana" w:cs="Arial"/>
                <w:color w:val="000000"/>
                <w:sz w:val="20"/>
                <w:szCs w:val="20"/>
                <w:lang w:eastAsia="es-ES"/>
              </w:rPr>
              <w:t xml:space="preserve">Desde </w:t>
            </w:r>
            <w:r w:rsidR="007F078E" w:rsidRPr="00D9196E">
              <w:rPr>
                <w:rFonts w:ascii="Verdana" w:eastAsia="Times New Roman" w:hAnsi="Verdana" w:cs="Arial"/>
                <w:color w:val="000000"/>
                <w:sz w:val="20"/>
                <w:szCs w:val="20"/>
                <w:lang w:eastAsia="es-ES"/>
              </w:rPr>
              <w:t xml:space="preserve">366 </w:t>
            </w:r>
            <w:r w:rsidRPr="00D9196E">
              <w:rPr>
                <w:rFonts w:ascii="Verdana" w:eastAsia="Times New Roman" w:hAnsi="Verdana" w:cs="Arial"/>
                <w:color w:val="000000"/>
                <w:sz w:val="20"/>
                <w:szCs w:val="20"/>
                <w:lang w:eastAsia="es-ES"/>
              </w:rPr>
              <w:t xml:space="preserve">hasta </w:t>
            </w:r>
            <w:r w:rsidR="007F078E" w:rsidRPr="00D9196E">
              <w:rPr>
                <w:rFonts w:ascii="Verdana" w:eastAsia="Times New Roman" w:hAnsi="Verdana" w:cs="Arial"/>
                <w:color w:val="000000"/>
                <w:sz w:val="20"/>
                <w:szCs w:val="20"/>
                <w:lang w:eastAsia="es-ES"/>
              </w:rPr>
              <w:t>730 días</w:t>
            </w:r>
          </w:p>
        </w:tc>
      </w:tr>
      <w:tr w:rsidR="007F078E" w:rsidRPr="00D9196E" w14:paraId="3BDF71A6" w14:textId="77777777" w:rsidTr="0078732C">
        <w:trPr>
          <w:trHeight w:val="300"/>
          <w:jc w:val="center"/>
        </w:trPr>
        <w:tc>
          <w:tcPr>
            <w:tcW w:w="724" w:type="dxa"/>
            <w:tcBorders>
              <w:top w:val="nil"/>
              <w:left w:val="single" w:sz="4" w:space="0" w:color="auto"/>
              <w:bottom w:val="single" w:sz="4" w:space="0" w:color="auto"/>
              <w:right w:val="single" w:sz="4" w:space="0" w:color="auto"/>
            </w:tcBorders>
            <w:noWrap/>
            <w:vAlign w:val="center"/>
          </w:tcPr>
          <w:p w14:paraId="3BDF71A4" w14:textId="2F6BE4F7" w:rsidR="007F078E" w:rsidRPr="00D9196E" w:rsidRDefault="00024446" w:rsidP="00F81212">
            <w:pPr>
              <w:spacing w:after="0" w:line="240" w:lineRule="auto"/>
              <w:jc w:val="center"/>
              <w:rPr>
                <w:rFonts w:ascii="Verdana" w:eastAsia="Times New Roman" w:hAnsi="Verdana" w:cs="Arial"/>
                <w:color w:val="000000"/>
                <w:sz w:val="20"/>
                <w:szCs w:val="20"/>
                <w:lang w:eastAsia="es-ES"/>
              </w:rPr>
            </w:pPr>
            <w:r w:rsidRPr="00D9196E">
              <w:rPr>
                <w:rFonts w:ascii="Verdana" w:eastAsia="Times New Roman" w:hAnsi="Verdana" w:cs="Arial"/>
                <w:color w:val="000000"/>
                <w:sz w:val="20"/>
                <w:szCs w:val="20"/>
                <w:lang w:val="es-ES_tradnl" w:eastAsia="es-ES"/>
              </w:rPr>
              <w:lastRenderedPageBreak/>
              <w:t>…</w:t>
            </w:r>
          </w:p>
        </w:tc>
        <w:tc>
          <w:tcPr>
            <w:tcW w:w="6146" w:type="dxa"/>
            <w:tcBorders>
              <w:top w:val="nil"/>
              <w:left w:val="nil"/>
              <w:bottom w:val="single" w:sz="4" w:space="0" w:color="auto"/>
              <w:right w:val="single" w:sz="4" w:space="0" w:color="auto"/>
            </w:tcBorders>
            <w:noWrap/>
            <w:vAlign w:val="center"/>
          </w:tcPr>
          <w:p w14:paraId="3BDF71A5" w14:textId="4B3286AF" w:rsidR="007F078E" w:rsidRPr="00D9196E" w:rsidRDefault="007F078E" w:rsidP="00F81212">
            <w:pPr>
              <w:spacing w:after="0" w:line="240" w:lineRule="auto"/>
              <w:jc w:val="both"/>
              <w:rPr>
                <w:rFonts w:ascii="Verdana" w:eastAsia="Times New Roman" w:hAnsi="Verdana" w:cs="Arial"/>
                <w:color w:val="000000"/>
                <w:sz w:val="20"/>
                <w:szCs w:val="20"/>
                <w:lang w:eastAsia="es-ES"/>
              </w:rPr>
            </w:pPr>
          </w:p>
        </w:tc>
      </w:tr>
      <w:tr w:rsidR="00CC2F2B" w:rsidRPr="00D9196E" w14:paraId="3BDF71C2" w14:textId="77777777" w:rsidTr="00414F46">
        <w:trPr>
          <w:trHeight w:val="300"/>
          <w:jc w:val="center"/>
        </w:trPr>
        <w:tc>
          <w:tcPr>
            <w:tcW w:w="724" w:type="dxa"/>
            <w:tcBorders>
              <w:top w:val="single" w:sz="4" w:space="0" w:color="auto"/>
              <w:left w:val="single" w:sz="4" w:space="0" w:color="auto"/>
              <w:bottom w:val="single" w:sz="4" w:space="0" w:color="auto"/>
              <w:right w:val="single" w:sz="4" w:space="0" w:color="auto"/>
            </w:tcBorders>
            <w:noWrap/>
            <w:vAlign w:val="center"/>
            <w:hideMark/>
          </w:tcPr>
          <w:p w14:paraId="3BDF71C0" w14:textId="593BB17E" w:rsidR="00CC2F2B" w:rsidRPr="00D9196E" w:rsidRDefault="00CC2F2B" w:rsidP="00F81212">
            <w:pPr>
              <w:spacing w:after="0" w:line="240" w:lineRule="auto"/>
              <w:jc w:val="center"/>
              <w:rPr>
                <w:rFonts w:ascii="Verdana" w:eastAsia="Times New Roman" w:hAnsi="Verdana" w:cs="Arial"/>
                <w:color w:val="000000"/>
                <w:sz w:val="20"/>
                <w:szCs w:val="20"/>
                <w:lang w:eastAsia="es-ES"/>
              </w:rPr>
            </w:pPr>
            <w:r w:rsidRPr="00D9196E">
              <w:rPr>
                <w:rFonts w:ascii="Verdana" w:eastAsia="Times New Roman" w:hAnsi="Verdana" w:cs="Arial"/>
                <w:color w:val="000000"/>
                <w:sz w:val="20"/>
                <w:szCs w:val="20"/>
                <w:lang w:val="es-ES_tradnl" w:eastAsia="es-ES"/>
              </w:rPr>
              <w:t>1</w:t>
            </w:r>
            <w:r w:rsidR="00024446" w:rsidRPr="00D9196E">
              <w:rPr>
                <w:rFonts w:ascii="Verdana" w:eastAsia="Times New Roman" w:hAnsi="Verdana" w:cs="Arial"/>
                <w:color w:val="000000"/>
                <w:sz w:val="20"/>
                <w:szCs w:val="20"/>
                <w:lang w:val="es-ES_tradnl" w:eastAsia="es-ES"/>
              </w:rPr>
              <w:t>20</w:t>
            </w:r>
          </w:p>
        </w:tc>
        <w:tc>
          <w:tcPr>
            <w:tcW w:w="6146" w:type="dxa"/>
            <w:tcBorders>
              <w:top w:val="single" w:sz="4" w:space="0" w:color="auto"/>
              <w:left w:val="nil"/>
              <w:bottom w:val="single" w:sz="4" w:space="0" w:color="auto"/>
              <w:right w:val="single" w:sz="4" w:space="0" w:color="auto"/>
            </w:tcBorders>
            <w:noWrap/>
            <w:vAlign w:val="center"/>
            <w:hideMark/>
          </w:tcPr>
          <w:p w14:paraId="3BDF71C1" w14:textId="15AE7D36" w:rsidR="00CC2F2B" w:rsidRPr="00D9196E" w:rsidRDefault="00024446" w:rsidP="00024446">
            <w:pPr>
              <w:spacing w:after="0" w:line="240" w:lineRule="auto"/>
              <w:jc w:val="both"/>
              <w:rPr>
                <w:rFonts w:ascii="Verdana" w:eastAsia="Times New Roman" w:hAnsi="Verdana" w:cs="Arial"/>
                <w:color w:val="000000"/>
                <w:sz w:val="20"/>
                <w:szCs w:val="20"/>
                <w:lang w:val="es-CO" w:eastAsia="es-ES"/>
              </w:rPr>
            </w:pPr>
            <w:r w:rsidRPr="00D9196E">
              <w:rPr>
                <w:rFonts w:ascii="Verdana" w:eastAsia="Times New Roman" w:hAnsi="Verdana" w:cs="Arial"/>
                <w:color w:val="000000"/>
                <w:sz w:val="20"/>
                <w:szCs w:val="20"/>
                <w:lang w:eastAsia="es-ES"/>
              </w:rPr>
              <w:t>Desde 43.436 hasta 43.800 días</w:t>
            </w:r>
            <w:r w:rsidRPr="00D9196E" w:rsidDel="00024446">
              <w:rPr>
                <w:rFonts w:ascii="Verdana" w:eastAsia="Times New Roman" w:hAnsi="Verdana" w:cs="Arial"/>
                <w:color w:val="000000"/>
                <w:sz w:val="20"/>
                <w:szCs w:val="20"/>
                <w:lang w:eastAsia="es-ES"/>
              </w:rPr>
              <w:t xml:space="preserve"> </w:t>
            </w:r>
          </w:p>
        </w:tc>
      </w:tr>
    </w:tbl>
    <w:p w14:paraId="34821426" w14:textId="77777777" w:rsidR="00C537A5" w:rsidRDefault="00C537A5" w:rsidP="00C537A5">
      <w:pPr>
        <w:spacing w:after="240" w:line="240" w:lineRule="auto"/>
        <w:jc w:val="both"/>
        <w:rPr>
          <w:rFonts w:ascii="Verdana" w:hAnsi="Verdana" w:cs="Arial"/>
          <w:b/>
          <w:sz w:val="20"/>
          <w:szCs w:val="20"/>
          <w:lang w:val="es-ES_tradnl"/>
        </w:rPr>
      </w:pPr>
    </w:p>
    <w:p w14:paraId="3BDF71C7" w14:textId="61A93C7B" w:rsidR="007F078E" w:rsidRPr="00C537A5" w:rsidRDefault="00D9196E" w:rsidP="00C537A5">
      <w:pPr>
        <w:spacing w:after="240" w:line="240" w:lineRule="auto"/>
        <w:jc w:val="both"/>
        <w:rPr>
          <w:rFonts w:ascii="Verdana" w:hAnsi="Verdana" w:cs="Arial"/>
          <w:b/>
          <w:sz w:val="20"/>
          <w:szCs w:val="20"/>
          <w:lang w:val="es-ES_tradnl"/>
        </w:rPr>
      </w:pPr>
      <w:r w:rsidRPr="00C537A5">
        <w:rPr>
          <w:rFonts w:ascii="Verdana" w:hAnsi="Verdana" w:cs="Arial"/>
          <w:b/>
          <w:sz w:val="20"/>
          <w:szCs w:val="20"/>
          <w:lang w:val="es-ES_tradnl"/>
        </w:rPr>
        <w:t>CÁLCULO DE LA RIA</w:t>
      </w:r>
    </w:p>
    <w:p w14:paraId="4066FD9A" w14:textId="2001D98E" w:rsidR="00DB0125" w:rsidRDefault="00DB0125" w:rsidP="00DB0125">
      <w:pPr>
        <w:spacing w:after="0" w:line="240" w:lineRule="auto"/>
        <w:jc w:val="both"/>
        <w:rPr>
          <w:rFonts w:ascii="Verdana" w:hAnsi="Verdana" w:cs="Arial"/>
          <w:spacing w:val="-3"/>
          <w:sz w:val="20"/>
          <w:szCs w:val="20"/>
        </w:rPr>
      </w:pPr>
      <w:r>
        <w:rPr>
          <w:rFonts w:ascii="Verdana" w:hAnsi="Verdana" w:cs="Arial"/>
          <w:spacing w:val="-3"/>
          <w:sz w:val="20"/>
          <w:szCs w:val="20"/>
        </w:rPr>
        <w:t xml:space="preserve">2.1.A1.24. </w:t>
      </w:r>
    </w:p>
    <w:p w14:paraId="3BDF71C9" w14:textId="14B2D294" w:rsidR="007F078E" w:rsidRPr="00DB0125" w:rsidRDefault="00DB0125" w:rsidP="00DB0125">
      <w:pPr>
        <w:spacing w:after="240" w:line="240" w:lineRule="auto"/>
        <w:jc w:val="both"/>
        <w:rPr>
          <w:rFonts w:ascii="Verdana" w:hAnsi="Verdana" w:cs="Arial"/>
          <w:spacing w:val="-3"/>
          <w:sz w:val="20"/>
          <w:szCs w:val="20"/>
        </w:rPr>
      </w:pPr>
      <w:r>
        <w:rPr>
          <w:rFonts w:ascii="Verdana" w:hAnsi="Verdana" w:cs="Arial"/>
          <w:sz w:val="20"/>
          <w:szCs w:val="20"/>
          <w:lang w:val="es-ES_tradnl"/>
        </w:rPr>
        <w:t xml:space="preserve">Una </w:t>
      </w:r>
      <w:r w:rsidR="00455020" w:rsidRPr="00D9196E">
        <w:rPr>
          <w:rFonts w:ascii="Verdana" w:hAnsi="Verdana" w:cs="Arial"/>
          <w:sz w:val="20"/>
          <w:szCs w:val="20"/>
          <w:lang w:val="es-ES_tradnl"/>
        </w:rPr>
        <w:t>vez</w:t>
      </w:r>
      <w:r w:rsidR="00EF278A" w:rsidRPr="00D9196E">
        <w:rPr>
          <w:rFonts w:ascii="Verdana" w:hAnsi="Verdana" w:cs="Arial"/>
          <w:sz w:val="20"/>
          <w:szCs w:val="20"/>
          <w:lang w:val="es-ES_tradnl"/>
        </w:rPr>
        <w:t xml:space="preserve"> realizados</w:t>
      </w:r>
      <w:r w:rsidR="00455020" w:rsidRPr="00D9196E">
        <w:rPr>
          <w:rFonts w:ascii="Verdana" w:hAnsi="Verdana" w:cs="Arial"/>
          <w:sz w:val="20"/>
          <w:szCs w:val="20"/>
          <w:lang w:val="es-ES_tradnl"/>
        </w:rPr>
        <w:t xml:space="preserve"> los pasos señalados en los </w:t>
      </w:r>
      <w:r w:rsidR="007C35EE">
        <w:rPr>
          <w:rFonts w:ascii="Verdana" w:hAnsi="Verdana" w:cs="Arial"/>
          <w:sz w:val="20"/>
          <w:szCs w:val="20"/>
          <w:lang w:val="es-ES_tradnl"/>
        </w:rPr>
        <w:t>párrafos</w:t>
      </w:r>
      <w:r w:rsidR="00455020" w:rsidRPr="00D9196E">
        <w:rPr>
          <w:rFonts w:ascii="Verdana" w:hAnsi="Verdana" w:cs="Arial"/>
          <w:sz w:val="20"/>
          <w:szCs w:val="20"/>
          <w:lang w:val="es-ES_tradnl"/>
        </w:rPr>
        <w:t xml:space="preserve"> anteriores </w:t>
      </w:r>
      <w:r w:rsidR="00EF278A" w:rsidRPr="00D9196E">
        <w:rPr>
          <w:rFonts w:ascii="Verdana" w:hAnsi="Verdana" w:cs="Arial"/>
          <w:sz w:val="20"/>
          <w:szCs w:val="20"/>
          <w:lang w:val="es-ES_tradnl"/>
        </w:rPr>
        <w:t>s</w:t>
      </w:r>
      <w:r w:rsidR="007F078E" w:rsidRPr="00D9196E">
        <w:rPr>
          <w:rFonts w:ascii="Verdana" w:hAnsi="Verdana" w:cs="Arial"/>
          <w:sz w:val="20"/>
          <w:szCs w:val="20"/>
          <w:lang w:val="es-ES_tradnl"/>
        </w:rPr>
        <w:t>e debe</w:t>
      </w:r>
      <w:r w:rsidR="00EF278A" w:rsidRPr="00D9196E">
        <w:rPr>
          <w:rFonts w:ascii="Verdana" w:hAnsi="Verdana" w:cs="Arial"/>
          <w:sz w:val="20"/>
          <w:szCs w:val="20"/>
          <w:lang w:val="es-ES_tradnl"/>
        </w:rPr>
        <w:t xml:space="preserve"> calcular la RIA de acuerdo con el siguiente procedimiento</w:t>
      </w:r>
      <w:r w:rsidR="007F078E" w:rsidRPr="00D9196E">
        <w:rPr>
          <w:rFonts w:ascii="Verdana" w:hAnsi="Verdana" w:cs="Arial"/>
          <w:sz w:val="20"/>
          <w:szCs w:val="20"/>
          <w:lang w:val="es-ES_tradnl"/>
        </w:rPr>
        <w:t>:</w:t>
      </w:r>
    </w:p>
    <w:p w14:paraId="647FBE0E" w14:textId="65B0685E" w:rsidR="009476C5" w:rsidRPr="00D9196E" w:rsidRDefault="2458A7F7" w:rsidP="4EBD96BF">
      <w:pPr>
        <w:pStyle w:val="Prrafodelista"/>
        <w:numPr>
          <w:ilvl w:val="0"/>
          <w:numId w:val="8"/>
        </w:numPr>
        <w:spacing w:after="240" w:line="240" w:lineRule="auto"/>
        <w:ind w:left="567" w:hanging="567"/>
        <w:jc w:val="both"/>
        <w:rPr>
          <w:rFonts w:ascii="Verdana" w:hAnsi="Verdana" w:cs="Arial"/>
          <w:sz w:val="20"/>
          <w:szCs w:val="20"/>
        </w:rPr>
      </w:pPr>
      <w:r w:rsidRPr="00D9196E">
        <w:rPr>
          <w:rFonts w:ascii="Verdana" w:hAnsi="Verdana" w:cs="Arial"/>
          <w:sz w:val="20"/>
          <w:szCs w:val="20"/>
        </w:rPr>
        <w:t>Calcular el valor presente de los flujos, utilizando el vector de</w:t>
      </w:r>
      <w:r w:rsidR="00656F0D" w:rsidRPr="00D9196E">
        <w:rPr>
          <w:rFonts w:ascii="Verdana" w:hAnsi="Verdana" w:cs="Arial"/>
          <w:sz w:val="20"/>
          <w:szCs w:val="20"/>
        </w:rPr>
        <w:t xml:space="preserve"> la</w:t>
      </w:r>
      <w:r w:rsidRPr="00D9196E">
        <w:rPr>
          <w:rFonts w:ascii="Verdana" w:hAnsi="Verdana"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curva de rendimiento libre de riesgo</m:t>
            </m:r>
          </m:e>
          <m:sub>
            <m:r>
              <w:rPr>
                <w:rFonts w:ascii="Cambria Math" w:hAnsi="Cambria Math" w:cs="Arial"/>
                <w:sz w:val="20"/>
                <w:szCs w:val="20"/>
              </w:rPr>
              <m:t>k</m:t>
            </m:r>
          </m:sub>
        </m:sSub>
      </m:oMath>
      <w:r w:rsidR="00BF1FC0" w:rsidRPr="00D9196E">
        <w:rPr>
          <w:rFonts w:ascii="Verdana" w:eastAsiaTheme="minorEastAsia" w:hAnsi="Verdana" w:cs="Arial"/>
          <w:sz w:val="20"/>
          <w:szCs w:val="20"/>
        </w:rPr>
        <w:t xml:space="preserve"> </w:t>
      </w:r>
      <w:r w:rsidR="001D5254" w:rsidRPr="00D9196E">
        <w:rPr>
          <w:rFonts w:ascii="Verdana" w:eastAsiaTheme="minorEastAsia" w:hAnsi="Verdana" w:cs="Arial"/>
          <w:sz w:val="20"/>
          <w:szCs w:val="20"/>
        </w:rPr>
        <w:t xml:space="preserve">en </w:t>
      </w:r>
      <w:r w:rsidR="000E2319" w:rsidRPr="00D9196E">
        <w:rPr>
          <w:rFonts w:ascii="Verdana" w:eastAsiaTheme="minorEastAsia" w:hAnsi="Verdana" w:cs="Arial"/>
          <w:sz w:val="20"/>
          <w:szCs w:val="20"/>
        </w:rPr>
        <w:t xml:space="preserve">términos reales </w:t>
      </w:r>
      <m:oMath>
        <m:d>
          <m:dPr>
            <m:ctrlPr>
              <w:rPr>
                <w:rFonts w:ascii="Cambria Math" w:eastAsiaTheme="minorEastAsia" w:hAnsi="Cambria Math" w:cs="Arial"/>
                <w:i/>
                <w:sz w:val="20"/>
                <w:szCs w:val="20"/>
              </w:rPr>
            </m:ctrlPr>
          </m:dPr>
          <m:e>
            <m:sSub>
              <m:sSubPr>
                <m:ctrlPr>
                  <w:rPr>
                    <w:rFonts w:ascii="Cambria Math" w:eastAsiaTheme="minorEastAsia" w:hAnsi="Cambria Math" w:cs="Arial"/>
                    <w:i/>
                    <w:sz w:val="20"/>
                    <w:szCs w:val="20"/>
                  </w:rPr>
                </m:ctrlPr>
              </m:sSubPr>
              <m:e>
                <m:r>
                  <w:rPr>
                    <w:rFonts w:ascii="Cambria Math" w:eastAsiaTheme="minorEastAsia" w:hAnsi="Cambria Math" w:cs="Arial"/>
                    <w:sz w:val="20"/>
                    <w:szCs w:val="20"/>
                  </w:rPr>
                  <m:t>CRLR</m:t>
                </m:r>
              </m:e>
              <m:sub>
                <m:r>
                  <w:rPr>
                    <w:rFonts w:ascii="Cambria Math" w:eastAsiaTheme="minorEastAsia" w:hAnsi="Cambria Math" w:cs="Arial"/>
                    <w:sz w:val="20"/>
                    <w:szCs w:val="20"/>
                  </w:rPr>
                  <m:t>k</m:t>
                </m:r>
              </m:sub>
            </m:sSub>
          </m:e>
        </m:d>
      </m:oMath>
      <w:r w:rsidR="00D73FFF" w:rsidRPr="00D9196E">
        <w:rPr>
          <w:rFonts w:ascii="Verdana" w:eastAsiaTheme="minorEastAsia" w:hAnsi="Verdana" w:cs="Arial"/>
          <w:sz w:val="20"/>
          <w:szCs w:val="20"/>
        </w:rPr>
        <w:t xml:space="preserve"> </w:t>
      </w:r>
      <w:r w:rsidR="00D73FFF" w:rsidRPr="00D9196E">
        <w:rPr>
          <w:rFonts w:ascii="Verdana" w:hAnsi="Verdana" w:cs="Arial"/>
          <w:sz w:val="20"/>
          <w:szCs w:val="20"/>
        </w:rPr>
        <w:t>de conformidad con</w:t>
      </w:r>
      <w:r w:rsidR="00650B75" w:rsidRPr="00D9196E">
        <w:rPr>
          <w:rFonts w:ascii="Verdana" w:hAnsi="Verdana" w:cs="Arial"/>
          <w:sz w:val="20"/>
          <w:szCs w:val="20"/>
        </w:rPr>
        <w:t xml:space="preserve"> lo establecido en </w:t>
      </w:r>
      <w:r w:rsidR="00DB0125">
        <w:rPr>
          <w:rFonts w:ascii="Verdana" w:hAnsi="Verdana" w:cs="Arial"/>
          <w:sz w:val="20"/>
          <w:szCs w:val="20"/>
        </w:rPr>
        <w:t xml:space="preserve">los párrafos 2.3.9. a 2.3.11. </w:t>
      </w:r>
      <w:r w:rsidR="00DB0125" w:rsidRPr="00D9196E">
        <w:rPr>
          <w:rFonts w:ascii="Verdana" w:hAnsi="Verdana" w:cs="Arial"/>
          <w:spacing w:val="-3"/>
          <w:sz w:val="20"/>
          <w:szCs w:val="20"/>
        </w:rPr>
        <w:t xml:space="preserve">del </w:t>
      </w:r>
      <w:r w:rsidR="00DB0125">
        <w:rPr>
          <w:rFonts w:ascii="Verdana" w:hAnsi="Verdana" w:cs="Arial"/>
          <w:spacing w:val="-3"/>
          <w:sz w:val="20"/>
          <w:szCs w:val="20"/>
        </w:rPr>
        <w:t>c</w:t>
      </w:r>
      <w:r w:rsidR="00DB0125" w:rsidRPr="00D9196E">
        <w:rPr>
          <w:rFonts w:ascii="Verdana" w:hAnsi="Verdana" w:cs="Arial"/>
          <w:spacing w:val="-3"/>
          <w:sz w:val="20"/>
          <w:szCs w:val="20"/>
        </w:rPr>
        <w:t xml:space="preserve">apítulo 3 de la </w:t>
      </w:r>
      <w:r w:rsidR="00DB0125">
        <w:rPr>
          <w:rFonts w:ascii="Verdana" w:hAnsi="Verdana" w:cs="Arial"/>
          <w:spacing w:val="-3"/>
          <w:sz w:val="20"/>
          <w:szCs w:val="20"/>
        </w:rPr>
        <w:t>p</w:t>
      </w:r>
      <w:r w:rsidR="00DB0125" w:rsidRPr="00D9196E">
        <w:rPr>
          <w:rFonts w:ascii="Verdana" w:hAnsi="Verdana" w:cs="Arial"/>
          <w:spacing w:val="-3"/>
          <w:sz w:val="20"/>
          <w:szCs w:val="20"/>
        </w:rPr>
        <w:t>arte 2 de la C</w:t>
      </w:r>
      <w:r w:rsidR="00DB0125">
        <w:rPr>
          <w:rFonts w:ascii="Verdana" w:hAnsi="Verdana" w:cs="Arial"/>
          <w:spacing w:val="-3"/>
          <w:sz w:val="20"/>
          <w:szCs w:val="20"/>
        </w:rPr>
        <w:t>B</w:t>
      </w:r>
      <w:r w:rsidR="00DB0125" w:rsidRPr="00D9196E">
        <w:rPr>
          <w:rFonts w:ascii="Verdana" w:hAnsi="Verdana" w:cs="Arial"/>
          <w:spacing w:val="-3"/>
          <w:sz w:val="20"/>
          <w:szCs w:val="20"/>
        </w:rPr>
        <w:t>F</w:t>
      </w:r>
      <w:r w:rsidR="00DB0125" w:rsidRPr="00D9196E">
        <w:rPr>
          <w:rFonts w:ascii="Verdana" w:hAnsi="Verdana" w:cs="Arial"/>
          <w:sz w:val="20"/>
          <w:szCs w:val="20"/>
        </w:rPr>
        <w:t xml:space="preserve"> </w:t>
      </w:r>
      <w:r w:rsidRPr="00D9196E">
        <w:rPr>
          <w:rFonts w:ascii="Verdana" w:hAnsi="Verdana" w:cs="Arial"/>
          <w:sz w:val="20"/>
          <w:szCs w:val="20"/>
        </w:rPr>
        <w:t>para el</w:t>
      </w:r>
      <w:r w:rsidR="000503DA" w:rsidRPr="00D9196E">
        <w:rPr>
          <w:rFonts w:ascii="Verdana" w:hAnsi="Verdana" w:cs="Arial"/>
          <w:sz w:val="20"/>
          <w:szCs w:val="20"/>
        </w:rPr>
        <w:t xml:space="preserve"> mes del</w:t>
      </w:r>
      <w:r w:rsidRPr="00D9196E">
        <w:rPr>
          <w:rFonts w:ascii="Verdana" w:hAnsi="Verdana" w:cs="Arial"/>
          <w:sz w:val="20"/>
          <w:szCs w:val="20"/>
        </w:rPr>
        <w:t xml:space="preserve"> trimestre correspondiente</w:t>
      </w:r>
      <w:r w:rsidR="00B51035" w:rsidRPr="00D9196E">
        <w:rPr>
          <w:rFonts w:ascii="Verdana" w:hAnsi="Verdana" w:cs="Arial"/>
          <w:sz w:val="20"/>
          <w:szCs w:val="20"/>
        </w:rPr>
        <w:t xml:space="preserve"> al cálculo</w:t>
      </w:r>
      <w:r w:rsidRPr="00D9196E">
        <w:rPr>
          <w:rFonts w:ascii="Verdana" w:hAnsi="Verdana" w:cs="Arial"/>
          <w:sz w:val="20"/>
          <w:szCs w:val="20"/>
        </w:rPr>
        <w:t>.</w:t>
      </w:r>
    </w:p>
    <w:p w14:paraId="2685EF70" w14:textId="67A33F71" w:rsidR="009476C5" w:rsidRPr="00743C1D" w:rsidRDefault="009476C5" w:rsidP="00743C1D">
      <w:pPr>
        <w:ind w:left="567"/>
        <w:jc w:val="both"/>
        <w:rPr>
          <w:rFonts w:ascii="Verdana" w:hAnsi="Verdana" w:cs="Arial"/>
          <w:sz w:val="20"/>
          <w:szCs w:val="20"/>
          <w:lang w:val="es-ES_tradnl"/>
        </w:rPr>
      </w:pPr>
      <w:r w:rsidRPr="00D9196E">
        <w:rPr>
          <w:rFonts w:ascii="Verdana" w:hAnsi="Verdana" w:cs="Arial"/>
          <w:sz w:val="20"/>
          <w:szCs w:val="20"/>
          <w:lang w:val="es-ES_tradnl"/>
        </w:rPr>
        <w:t>Para cada flujo de activo se debe realizar el siguiente procedimiento:</w:t>
      </w:r>
    </w:p>
    <w:p w14:paraId="7B3F5741" w14:textId="0BC91707" w:rsidR="009476C5" w:rsidRPr="00D9196E" w:rsidRDefault="00000000" w:rsidP="009476C5">
      <w:pPr>
        <w:jc w:val="both"/>
        <w:rPr>
          <w:rFonts w:ascii="Verdana" w:eastAsiaTheme="minorEastAsia" w:hAnsi="Verdana" w:cs="Arial"/>
          <w:iCs/>
          <w:color w:val="000000"/>
          <w:sz w:val="20"/>
          <w:szCs w:val="20"/>
        </w:rPr>
      </w:pPr>
      <m:oMathPara>
        <m:oMathParaPr>
          <m:jc m:val="centerGroup"/>
        </m:oMathParaPr>
        <m:oMath>
          <m:sSub>
            <m:sSubPr>
              <m:ctrlPr>
                <w:rPr>
                  <w:rFonts w:ascii="Cambria Math" w:hAnsi="Cambria Math" w:cs="Arial"/>
                  <w:i/>
                  <w:color w:val="000000"/>
                  <w:sz w:val="20"/>
                  <w:szCs w:val="20"/>
                </w:rPr>
              </m:ctrlPr>
            </m:sSubPr>
            <m:e>
              <m:r>
                <w:rPr>
                  <w:rFonts w:ascii="Cambria Math" w:hAnsi="Cambria Math" w:cs="Arial"/>
                  <w:color w:val="000000"/>
                  <w:sz w:val="20"/>
                  <w:szCs w:val="20"/>
                </w:rPr>
                <m:t>VPFA</m:t>
              </m:r>
            </m:e>
            <m:sub>
              <m:r>
                <w:rPr>
                  <w:rFonts w:ascii="Cambria Math" w:hAnsi="Cambria Math" w:cs="Arial"/>
                  <w:color w:val="000000"/>
                  <w:sz w:val="20"/>
                  <w:szCs w:val="20"/>
                </w:rPr>
                <m:t>j</m:t>
              </m:r>
            </m:sub>
          </m:sSub>
          <m:r>
            <w:rPr>
              <w:rFonts w:ascii="Cambria Math" w:hAnsi="Cambria Math" w:cs="Arial"/>
              <w:color w:val="000000"/>
              <w:sz w:val="20"/>
              <w:szCs w:val="20"/>
            </w:rPr>
            <m:t>=</m:t>
          </m:r>
          <m:f>
            <m:fPr>
              <m:ctrlPr>
                <w:rPr>
                  <w:rFonts w:ascii="Cambria Math" w:hAnsi="Cambria Math" w:cs="Arial"/>
                  <w:i/>
                  <w:iCs/>
                  <w:color w:val="000000"/>
                  <w:sz w:val="20"/>
                  <w:szCs w:val="20"/>
                </w:rPr>
              </m:ctrlPr>
            </m:fPr>
            <m:num>
              <m:sSub>
                <m:sSubPr>
                  <m:ctrlPr>
                    <w:rPr>
                      <w:rFonts w:ascii="Cambria Math" w:hAnsi="Cambria Math" w:cs="Arial"/>
                      <w:i/>
                      <w:color w:val="000000"/>
                      <w:sz w:val="20"/>
                      <w:szCs w:val="20"/>
                    </w:rPr>
                  </m:ctrlPr>
                </m:sSubPr>
                <m:e>
                  <m:r>
                    <w:rPr>
                      <w:rFonts w:ascii="Cambria Math" w:hAnsi="Cambria Math" w:cs="Arial"/>
                      <w:color w:val="000000"/>
                      <w:sz w:val="20"/>
                      <w:szCs w:val="20"/>
                    </w:rPr>
                    <m:t>FA</m:t>
                  </m:r>
                </m:e>
                <m:sub>
                  <m:r>
                    <w:rPr>
                      <w:rFonts w:ascii="Cambria Math" w:hAnsi="Cambria Math" w:cs="Arial"/>
                      <w:color w:val="000000"/>
                      <w:sz w:val="20"/>
                      <w:szCs w:val="20"/>
                    </w:rPr>
                    <m:t>j</m:t>
                  </m:r>
                </m:sub>
              </m:sSub>
            </m:num>
            <m:den>
              <m:sSup>
                <m:sSupPr>
                  <m:ctrlPr>
                    <w:rPr>
                      <w:rFonts w:ascii="Cambria Math" w:hAnsi="Cambria Math" w:cs="Arial"/>
                      <w:i/>
                      <w:iCs/>
                      <w:color w:val="000000"/>
                      <w:sz w:val="20"/>
                      <w:szCs w:val="20"/>
                    </w:rPr>
                  </m:ctrlPr>
                </m:sSupPr>
                <m:e>
                  <m:r>
                    <w:rPr>
                      <w:rFonts w:ascii="Cambria Math" w:hAnsi="Cambria Math" w:cs="Arial"/>
                      <w:color w:val="000000"/>
                      <w:sz w:val="20"/>
                      <w:szCs w:val="20"/>
                    </w:rPr>
                    <m:t>(1+</m:t>
                  </m:r>
                  <m:sSub>
                    <m:sSubPr>
                      <m:ctrlPr>
                        <w:rPr>
                          <w:rFonts w:ascii="Cambria Math" w:hAnsi="Cambria Math" w:cs="Arial"/>
                          <w:i/>
                          <w:color w:val="000000"/>
                          <w:sz w:val="20"/>
                          <w:szCs w:val="20"/>
                        </w:rPr>
                      </m:ctrlPr>
                    </m:sSubPr>
                    <m:e>
                      <m:r>
                        <w:rPr>
                          <w:rFonts w:ascii="Cambria Math" w:hAnsi="Cambria Math" w:cs="Arial"/>
                          <w:color w:val="000000"/>
                          <w:sz w:val="20"/>
                          <w:szCs w:val="20"/>
                        </w:rPr>
                        <m:t>CRLR</m:t>
                      </m:r>
                    </m:e>
                    <m:sub>
                      <m:d>
                        <m:dPr>
                          <m:begChr m:val="["/>
                          <m:endChr m:val="]"/>
                          <m:ctrlPr>
                            <w:rPr>
                              <w:rFonts w:ascii="Cambria Math" w:eastAsiaTheme="minorEastAsia"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FA</m:t>
                              </m:r>
                            </m:e>
                            <m:sub>
                              <m:r>
                                <w:rPr>
                                  <w:rFonts w:ascii="Cambria Math" w:hAnsi="Cambria Math" w:cs="Arial"/>
                                  <w:color w:val="000000"/>
                                  <w:sz w:val="20"/>
                                  <w:szCs w:val="20"/>
                                </w:rPr>
                                <m:t>j</m:t>
                              </m:r>
                            </m:sub>
                          </m:sSub>
                          <m:r>
                            <w:rPr>
                              <w:rFonts w:ascii="Cambria Math" w:hAnsi="Cambria Math" w:cs="Arial"/>
                              <w:color w:val="000000"/>
                              <w:sz w:val="20"/>
                              <w:szCs w:val="20"/>
                            </w:rPr>
                            <m:t>)</m:t>
                          </m:r>
                        </m:e>
                      </m:d>
                    </m:sub>
                  </m:sSub>
                  <m:r>
                    <w:rPr>
                      <w:rFonts w:ascii="Cambria Math" w:hAnsi="Cambria Math" w:cs="Arial"/>
                      <w:color w:val="000000"/>
                      <w:sz w:val="20"/>
                      <w:szCs w:val="20"/>
                    </w:rPr>
                    <m:t>)</m:t>
                  </m:r>
                </m:e>
                <m:sup>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FA</m:t>
                      </m:r>
                    </m:e>
                    <m:sub>
                      <m:r>
                        <w:rPr>
                          <w:rFonts w:ascii="Cambria Math" w:hAnsi="Cambria Math" w:cs="Arial"/>
                          <w:color w:val="000000"/>
                          <w:sz w:val="20"/>
                          <w:szCs w:val="20"/>
                        </w:rPr>
                        <m:t>j</m:t>
                      </m:r>
                    </m:sub>
                  </m:sSub>
                  <m:r>
                    <w:rPr>
                      <w:rFonts w:ascii="Cambria Math" w:hAnsi="Cambria Math" w:cs="Arial"/>
                      <w:color w:val="000000"/>
                      <w:sz w:val="20"/>
                      <w:szCs w:val="20"/>
                    </w:rPr>
                    <m:t>)</m:t>
                  </m:r>
                </m:sup>
              </m:sSup>
            </m:den>
          </m:f>
        </m:oMath>
      </m:oMathPara>
    </w:p>
    <w:p w14:paraId="40066331" w14:textId="77777777" w:rsidR="009476C5" w:rsidRPr="00D9196E" w:rsidRDefault="009476C5" w:rsidP="009476C5">
      <w:pPr>
        <w:ind w:left="567"/>
        <w:jc w:val="both"/>
        <w:rPr>
          <w:rFonts w:ascii="Verdana" w:hAnsi="Verdana" w:cs="Arial"/>
          <w:sz w:val="20"/>
          <w:szCs w:val="20"/>
          <w:lang w:val="es-ES_tradnl"/>
        </w:rPr>
      </w:pPr>
      <w:r w:rsidRPr="00D9196E">
        <w:rPr>
          <w:rFonts w:ascii="Verdana" w:hAnsi="Verdana" w:cs="Arial"/>
          <w:sz w:val="20"/>
          <w:szCs w:val="20"/>
          <w:lang w:val="es-ES_tradnl"/>
        </w:rPr>
        <w:t>Para cada flujo de pasivo se debe realizar el siguiente procedimiento:</w:t>
      </w:r>
    </w:p>
    <w:p w14:paraId="7F63F12F" w14:textId="2B0C62AB" w:rsidR="009476C5" w:rsidRPr="00743C1D" w:rsidRDefault="00000000" w:rsidP="009476C5">
      <w:pPr>
        <w:jc w:val="both"/>
        <w:rPr>
          <w:rFonts w:ascii="Verdana" w:hAnsi="Verdana" w:cs="Arial"/>
          <w:sz w:val="20"/>
          <w:szCs w:val="20"/>
          <w:lang w:val="es-ES_tradnl"/>
        </w:rPr>
      </w:pPr>
      <m:oMathPara>
        <m:oMath>
          <m:sSub>
            <m:sSubPr>
              <m:ctrlPr>
                <w:rPr>
                  <w:rFonts w:ascii="Cambria Math" w:hAnsi="Cambria Math" w:cs="Arial"/>
                  <w:i/>
                  <w:color w:val="000000"/>
                  <w:sz w:val="20"/>
                  <w:szCs w:val="20"/>
                </w:rPr>
              </m:ctrlPr>
            </m:sSubPr>
            <m:e>
              <m:r>
                <w:rPr>
                  <w:rFonts w:ascii="Cambria Math" w:hAnsi="Cambria Math" w:cs="Arial"/>
                  <w:color w:val="000000"/>
                  <w:sz w:val="20"/>
                  <w:szCs w:val="20"/>
                </w:rPr>
                <m:t>VPFP</m:t>
              </m:r>
            </m:e>
            <m:sub>
              <m:r>
                <w:rPr>
                  <w:rFonts w:ascii="Cambria Math" w:hAnsi="Cambria Math" w:cs="Arial"/>
                  <w:color w:val="000000"/>
                  <w:sz w:val="20"/>
                  <w:szCs w:val="20"/>
                </w:rPr>
                <m:t>j</m:t>
              </m:r>
            </m:sub>
          </m:sSub>
          <m:r>
            <w:rPr>
              <w:rFonts w:ascii="Cambria Math" w:hAnsi="Cambria Math" w:cs="Arial"/>
              <w:color w:val="000000"/>
              <w:sz w:val="20"/>
              <w:szCs w:val="20"/>
            </w:rPr>
            <m:t>=</m:t>
          </m:r>
          <m:f>
            <m:fPr>
              <m:ctrlPr>
                <w:rPr>
                  <w:rFonts w:ascii="Cambria Math" w:hAnsi="Cambria Math" w:cs="Arial"/>
                  <w:i/>
                  <w:iCs/>
                  <w:color w:val="000000"/>
                  <w:sz w:val="20"/>
                  <w:szCs w:val="20"/>
                </w:rPr>
              </m:ctrlPr>
            </m:fPr>
            <m:num>
              <m:sSub>
                <m:sSubPr>
                  <m:ctrlPr>
                    <w:rPr>
                      <w:rFonts w:ascii="Cambria Math" w:hAnsi="Cambria Math" w:cs="Arial"/>
                      <w:i/>
                      <w:color w:val="000000"/>
                      <w:sz w:val="20"/>
                      <w:szCs w:val="20"/>
                    </w:rPr>
                  </m:ctrlPr>
                </m:sSubPr>
                <m:e>
                  <m:r>
                    <w:rPr>
                      <w:rFonts w:ascii="Cambria Math" w:hAnsi="Cambria Math" w:cs="Arial"/>
                      <w:color w:val="000000"/>
                      <w:sz w:val="20"/>
                      <w:szCs w:val="20"/>
                    </w:rPr>
                    <m:t>FP</m:t>
                  </m:r>
                </m:e>
                <m:sub>
                  <m:r>
                    <w:rPr>
                      <w:rFonts w:ascii="Cambria Math" w:hAnsi="Cambria Math" w:cs="Arial"/>
                      <w:color w:val="000000"/>
                      <w:sz w:val="20"/>
                      <w:szCs w:val="20"/>
                    </w:rPr>
                    <m:t>j</m:t>
                  </m:r>
                </m:sub>
              </m:sSub>
            </m:num>
            <m:den>
              <m:sSup>
                <m:sSupPr>
                  <m:ctrlPr>
                    <w:rPr>
                      <w:rFonts w:ascii="Cambria Math" w:hAnsi="Cambria Math" w:cs="Arial"/>
                      <w:i/>
                      <w:iCs/>
                      <w:color w:val="000000"/>
                      <w:sz w:val="20"/>
                      <w:szCs w:val="20"/>
                    </w:rPr>
                  </m:ctrlPr>
                </m:sSupPr>
                <m:e>
                  <m:r>
                    <w:rPr>
                      <w:rFonts w:ascii="Cambria Math" w:hAnsi="Cambria Math" w:cs="Arial"/>
                      <w:color w:val="000000"/>
                      <w:sz w:val="20"/>
                      <w:szCs w:val="20"/>
                    </w:rPr>
                    <m:t>(1+</m:t>
                  </m:r>
                  <m:sSub>
                    <m:sSubPr>
                      <m:ctrlPr>
                        <w:rPr>
                          <w:rFonts w:ascii="Cambria Math" w:hAnsi="Cambria Math" w:cs="Arial"/>
                          <w:i/>
                          <w:iCs/>
                          <w:color w:val="000000"/>
                          <w:sz w:val="20"/>
                          <w:szCs w:val="20"/>
                        </w:rPr>
                      </m:ctrlPr>
                    </m:sSubPr>
                    <m:e>
                      <m:r>
                        <w:rPr>
                          <w:rFonts w:ascii="Cambria Math" w:hAnsi="Cambria Math" w:cs="Arial"/>
                          <w:color w:val="000000"/>
                          <w:sz w:val="20"/>
                          <w:szCs w:val="20"/>
                        </w:rPr>
                        <m:t>CRLR</m:t>
                      </m:r>
                    </m:e>
                    <m:sub>
                      <m:d>
                        <m:dPr>
                          <m:begChr m:val="["/>
                          <m:endChr m:val="]"/>
                          <m:ctrlPr>
                            <w:rPr>
                              <w:rFonts w:ascii="Cambria Math"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FP</m:t>
                              </m:r>
                            </m:e>
                            <m:sub>
                              <m:r>
                                <w:rPr>
                                  <w:rFonts w:ascii="Cambria Math" w:hAnsi="Cambria Math" w:cs="Arial"/>
                                  <w:color w:val="000000"/>
                                  <w:sz w:val="20"/>
                                  <w:szCs w:val="20"/>
                                </w:rPr>
                                <m:t>j</m:t>
                              </m:r>
                            </m:sub>
                          </m:sSub>
                          <m:r>
                            <w:rPr>
                              <w:rFonts w:ascii="Cambria Math" w:hAnsi="Cambria Math" w:cs="Arial"/>
                              <w:color w:val="000000"/>
                              <w:sz w:val="20"/>
                              <w:szCs w:val="20"/>
                            </w:rPr>
                            <m:t>)</m:t>
                          </m:r>
                        </m:e>
                      </m:d>
                    </m:sub>
                  </m:sSub>
                  <m:r>
                    <w:rPr>
                      <w:rFonts w:ascii="Cambria Math" w:hAnsi="Cambria Math" w:cs="Arial"/>
                      <w:color w:val="000000"/>
                      <w:sz w:val="20"/>
                      <w:szCs w:val="20"/>
                    </w:rPr>
                    <m:t>)</m:t>
                  </m:r>
                </m:e>
                <m:sup>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FP</m:t>
                      </m:r>
                    </m:e>
                    <m:sub>
                      <m:r>
                        <w:rPr>
                          <w:rFonts w:ascii="Cambria Math" w:hAnsi="Cambria Math" w:cs="Arial"/>
                          <w:color w:val="000000"/>
                          <w:sz w:val="20"/>
                          <w:szCs w:val="20"/>
                        </w:rPr>
                        <m:t>j</m:t>
                      </m:r>
                    </m:sub>
                  </m:sSub>
                  <m:r>
                    <w:rPr>
                      <w:rFonts w:ascii="Cambria Math" w:hAnsi="Cambria Math" w:cs="Arial"/>
                      <w:color w:val="000000"/>
                      <w:sz w:val="20"/>
                      <w:szCs w:val="20"/>
                    </w:rPr>
                    <m:t>)</m:t>
                  </m:r>
                </m:sup>
              </m:sSup>
            </m:den>
          </m:f>
        </m:oMath>
      </m:oMathPara>
    </w:p>
    <w:p w14:paraId="3828A2C4" w14:textId="77777777" w:rsidR="009476C5" w:rsidRPr="00D9196E" w:rsidRDefault="009476C5" w:rsidP="009476C5">
      <w:pPr>
        <w:ind w:left="567"/>
        <w:jc w:val="both"/>
        <w:rPr>
          <w:rFonts w:ascii="Verdana" w:hAnsi="Verdana" w:cs="Arial"/>
          <w:sz w:val="20"/>
          <w:szCs w:val="20"/>
          <w:lang w:val="es-ES_tradnl"/>
        </w:rPr>
      </w:pPr>
      <w:r w:rsidRPr="00D9196E">
        <w:rPr>
          <w:rFonts w:ascii="Verdana" w:hAnsi="Verdana" w:cs="Arial"/>
          <w:sz w:val="20"/>
          <w:szCs w:val="20"/>
          <w:lang w:val="es-ES_tradnl"/>
        </w:rPr>
        <w:t>Donde:</w:t>
      </w:r>
    </w:p>
    <w:p w14:paraId="349E502F" w14:textId="77777777" w:rsidR="009476C5" w:rsidRPr="00D9196E" w:rsidRDefault="00000000" w:rsidP="009476C5">
      <w:pPr>
        <w:ind w:left="567"/>
        <w:jc w:val="both"/>
        <w:rPr>
          <w:rFonts w:ascii="Verdana" w:eastAsiaTheme="minorEastAsia" w:hAnsi="Verdana" w:cs="Arial"/>
          <w:iCs/>
          <w:color w:val="000000"/>
          <w:sz w:val="20"/>
          <w:szCs w:val="20"/>
        </w:rPr>
      </w:pPr>
      <m:oMath>
        <m:sSub>
          <m:sSubPr>
            <m:ctrlPr>
              <w:rPr>
                <w:rFonts w:ascii="Cambria Math" w:hAnsi="Cambria Math" w:cs="Arial"/>
                <w:i/>
                <w:color w:val="000000"/>
                <w:sz w:val="20"/>
                <w:szCs w:val="20"/>
              </w:rPr>
            </m:ctrlPr>
          </m:sSubPr>
          <m:e>
            <m:r>
              <w:rPr>
                <w:rFonts w:ascii="Cambria Math" w:hAnsi="Cambria Math" w:cs="Arial"/>
                <w:color w:val="000000"/>
                <w:sz w:val="20"/>
                <w:szCs w:val="20"/>
              </w:rPr>
              <m:t>VPFA</m:t>
            </m:r>
          </m:e>
          <m:sub>
            <m:r>
              <w:rPr>
                <w:rFonts w:ascii="Cambria Math" w:hAnsi="Cambria Math" w:cs="Arial"/>
                <w:color w:val="000000"/>
                <w:sz w:val="20"/>
                <w:szCs w:val="20"/>
              </w:rPr>
              <m:t>j</m:t>
            </m:r>
          </m:sub>
        </m:sSub>
      </m:oMath>
      <w:r w:rsidR="009476C5" w:rsidRPr="00D9196E">
        <w:rPr>
          <w:rFonts w:ascii="Verdana" w:eastAsiaTheme="minorEastAsia" w:hAnsi="Verdana" w:cs="Arial"/>
          <w:color w:val="000000"/>
          <w:sz w:val="20"/>
          <w:szCs w:val="20"/>
        </w:rPr>
        <w:t xml:space="preserve">: </w:t>
      </w:r>
      <w:r w:rsidR="009476C5" w:rsidRPr="00D9196E">
        <w:rPr>
          <w:rFonts w:ascii="Verdana" w:eastAsiaTheme="minorEastAsia" w:hAnsi="Verdana" w:cs="Arial"/>
          <w:iCs/>
          <w:color w:val="000000"/>
          <w:sz w:val="20"/>
          <w:szCs w:val="20"/>
        </w:rPr>
        <w:t xml:space="preserve">Valor presente del flujo </w:t>
      </w:r>
      <m:oMath>
        <m:r>
          <w:rPr>
            <w:rFonts w:ascii="Cambria Math" w:eastAsiaTheme="minorEastAsia" w:hAnsi="Cambria Math" w:cs="Arial"/>
            <w:color w:val="000000"/>
            <w:sz w:val="20"/>
            <w:szCs w:val="20"/>
          </w:rPr>
          <m:t>j</m:t>
        </m:r>
      </m:oMath>
      <w:r w:rsidR="009476C5" w:rsidRPr="00D9196E">
        <w:rPr>
          <w:rFonts w:ascii="Verdana" w:eastAsiaTheme="minorEastAsia" w:hAnsi="Verdana" w:cs="Arial"/>
          <w:iCs/>
          <w:color w:val="000000"/>
          <w:sz w:val="20"/>
          <w:szCs w:val="20"/>
        </w:rPr>
        <w:t xml:space="preserve"> del activo.</w:t>
      </w:r>
    </w:p>
    <w:p w14:paraId="465F4986" w14:textId="77777777" w:rsidR="009476C5" w:rsidRPr="00D9196E" w:rsidRDefault="00000000" w:rsidP="009476C5">
      <w:pPr>
        <w:ind w:left="567"/>
        <w:jc w:val="both"/>
        <w:rPr>
          <w:rFonts w:ascii="Verdana" w:eastAsiaTheme="minorEastAsia" w:hAnsi="Verdana" w:cs="Arial"/>
          <w:iCs/>
          <w:color w:val="000000"/>
          <w:sz w:val="20"/>
          <w:szCs w:val="20"/>
        </w:rPr>
      </w:pPr>
      <m:oMath>
        <m:sSub>
          <m:sSubPr>
            <m:ctrlPr>
              <w:rPr>
                <w:rFonts w:ascii="Cambria Math" w:hAnsi="Cambria Math" w:cs="Arial"/>
                <w:i/>
                <w:color w:val="000000"/>
                <w:sz w:val="20"/>
                <w:szCs w:val="20"/>
              </w:rPr>
            </m:ctrlPr>
          </m:sSubPr>
          <m:e>
            <m:r>
              <w:rPr>
                <w:rFonts w:ascii="Cambria Math" w:hAnsi="Cambria Math" w:cs="Arial"/>
                <w:color w:val="000000"/>
                <w:sz w:val="20"/>
                <w:szCs w:val="20"/>
              </w:rPr>
              <m:t>VPFP</m:t>
            </m:r>
          </m:e>
          <m:sub>
            <m:r>
              <w:rPr>
                <w:rFonts w:ascii="Cambria Math" w:hAnsi="Cambria Math" w:cs="Arial"/>
                <w:color w:val="000000"/>
                <w:sz w:val="20"/>
                <w:szCs w:val="20"/>
              </w:rPr>
              <m:t>j</m:t>
            </m:r>
          </m:sub>
        </m:sSub>
      </m:oMath>
      <w:r w:rsidR="009476C5" w:rsidRPr="00D9196E">
        <w:rPr>
          <w:rFonts w:ascii="Verdana" w:eastAsiaTheme="minorEastAsia" w:hAnsi="Verdana" w:cs="Arial"/>
          <w:color w:val="000000"/>
          <w:sz w:val="20"/>
          <w:szCs w:val="20"/>
        </w:rPr>
        <w:t xml:space="preserve">: </w:t>
      </w:r>
      <w:r w:rsidR="009476C5" w:rsidRPr="00D9196E">
        <w:rPr>
          <w:rFonts w:ascii="Verdana" w:eastAsiaTheme="minorEastAsia" w:hAnsi="Verdana" w:cs="Arial"/>
          <w:iCs/>
          <w:color w:val="000000"/>
          <w:sz w:val="20"/>
          <w:szCs w:val="20"/>
        </w:rPr>
        <w:t xml:space="preserve">Valor presente del flujo </w:t>
      </w:r>
      <m:oMath>
        <m:r>
          <w:rPr>
            <w:rFonts w:ascii="Cambria Math" w:eastAsiaTheme="minorEastAsia" w:hAnsi="Cambria Math" w:cs="Arial"/>
            <w:color w:val="000000"/>
            <w:sz w:val="20"/>
            <w:szCs w:val="20"/>
          </w:rPr>
          <m:t>j</m:t>
        </m:r>
      </m:oMath>
      <w:r w:rsidR="009476C5" w:rsidRPr="00D9196E">
        <w:rPr>
          <w:rFonts w:ascii="Verdana" w:eastAsiaTheme="minorEastAsia" w:hAnsi="Verdana" w:cs="Arial"/>
          <w:iCs/>
          <w:color w:val="000000"/>
          <w:sz w:val="20"/>
          <w:szCs w:val="20"/>
        </w:rPr>
        <w:t xml:space="preserve"> del pasivo.</w:t>
      </w:r>
    </w:p>
    <w:p w14:paraId="6C25EFB5" w14:textId="77777777" w:rsidR="009476C5" w:rsidRPr="00D9196E" w:rsidRDefault="00000000" w:rsidP="009476C5">
      <w:pPr>
        <w:ind w:left="567"/>
        <w:jc w:val="both"/>
        <w:rPr>
          <w:rFonts w:ascii="Verdana" w:eastAsiaTheme="minorEastAsia" w:hAnsi="Verdana" w:cs="Arial"/>
          <w:iCs/>
          <w:color w:val="000000"/>
          <w:sz w:val="20"/>
          <w:szCs w:val="20"/>
        </w:rPr>
      </w:pPr>
      <m:oMath>
        <m:sSub>
          <m:sSubPr>
            <m:ctrlPr>
              <w:rPr>
                <w:rFonts w:ascii="Cambria Math" w:hAnsi="Cambria Math" w:cs="Arial"/>
                <w:i/>
                <w:color w:val="000000"/>
                <w:sz w:val="20"/>
                <w:szCs w:val="20"/>
              </w:rPr>
            </m:ctrlPr>
          </m:sSubPr>
          <m:e>
            <m:r>
              <w:rPr>
                <w:rFonts w:ascii="Cambria Math" w:hAnsi="Cambria Math" w:cs="Arial"/>
                <w:color w:val="000000"/>
                <w:sz w:val="20"/>
                <w:szCs w:val="20"/>
              </w:rPr>
              <m:t>FA</m:t>
            </m:r>
          </m:e>
          <m:sub>
            <m:r>
              <w:rPr>
                <w:rFonts w:ascii="Cambria Math" w:hAnsi="Cambria Math" w:cs="Arial"/>
                <w:color w:val="000000"/>
                <w:sz w:val="20"/>
                <w:szCs w:val="20"/>
              </w:rPr>
              <m:t>j</m:t>
            </m:r>
          </m:sub>
        </m:sSub>
      </m:oMath>
      <w:r w:rsidR="009476C5" w:rsidRPr="00D9196E">
        <w:rPr>
          <w:rFonts w:ascii="Verdana" w:eastAsiaTheme="minorEastAsia" w:hAnsi="Verdana" w:cs="Arial"/>
          <w:color w:val="000000"/>
          <w:sz w:val="20"/>
          <w:szCs w:val="20"/>
        </w:rPr>
        <w:t xml:space="preserve">: </w:t>
      </w:r>
      <w:r w:rsidR="009476C5" w:rsidRPr="00D9196E">
        <w:rPr>
          <w:rFonts w:ascii="Verdana" w:eastAsiaTheme="minorEastAsia" w:hAnsi="Verdana" w:cs="Arial"/>
          <w:iCs/>
          <w:color w:val="000000"/>
          <w:sz w:val="20"/>
          <w:szCs w:val="20"/>
        </w:rPr>
        <w:t xml:space="preserve">Flujo </w:t>
      </w:r>
      <m:oMath>
        <m:r>
          <w:rPr>
            <w:rFonts w:ascii="Cambria Math" w:eastAsiaTheme="minorEastAsia" w:hAnsi="Cambria Math" w:cs="Arial"/>
            <w:color w:val="000000"/>
            <w:sz w:val="20"/>
            <w:szCs w:val="20"/>
          </w:rPr>
          <m:t>j</m:t>
        </m:r>
      </m:oMath>
      <w:r w:rsidR="009476C5" w:rsidRPr="00D9196E">
        <w:rPr>
          <w:rFonts w:ascii="Verdana" w:eastAsiaTheme="minorEastAsia" w:hAnsi="Verdana" w:cs="Arial"/>
          <w:iCs/>
          <w:color w:val="000000"/>
          <w:sz w:val="20"/>
          <w:szCs w:val="20"/>
        </w:rPr>
        <w:t xml:space="preserve"> del activo.</w:t>
      </w:r>
    </w:p>
    <w:p w14:paraId="279AC9C6" w14:textId="77777777" w:rsidR="009476C5" w:rsidRPr="00D9196E" w:rsidRDefault="00000000" w:rsidP="009476C5">
      <w:pPr>
        <w:ind w:left="567"/>
        <w:jc w:val="both"/>
        <w:rPr>
          <w:rFonts w:ascii="Verdana" w:eastAsiaTheme="minorEastAsia" w:hAnsi="Verdana" w:cs="Arial"/>
          <w:iCs/>
          <w:color w:val="000000"/>
          <w:sz w:val="20"/>
          <w:szCs w:val="20"/>
        </w:rPr>
      </w:pPr>
      <m:oMath>
        <m:sSub>
          <m:sSubPr>
            <m:ctrlPr>
              <w:rPr>
                <w:rFonts w:ascii="Cambria Math" w:hAnsi="Cambria Math" w:cs="Arial"/>
                <w:i/>
                <w:color w:val="000000"/>
                <w:sz w:val="20"/>
                <w:szCs w:val="20"/>
              </w:rPr>
            </m:ctrlPr>
          </m:sSubPr>
          <m:e>
            <m:r>
              <w:rPr>
                <w:rFonts w:ascii="Cambria Math" w:hAnsi="Cambria Math" w:cs="Arial"/>
                <w:color w:val="000000"/>
                <w:sz w:val="20"/>
                <w:szCs w:val="20"/>
              </w:rPr>
              <m:t>FP</m:t>
            </m:r>
          </m:e>
          <m:sub>
            <m:r>
              <w:rPr>
                <w:rFonts w:ascii="Cambria Math" w:hAnsi="Cambria Math" w:cs="Arial"/>
                <w:color w:val="000000"/>
                <w:sz w:val="20"/>
                <w:szCs w:val="20"/>
              </w:rPr>
              <m:t>j</m:t>
            </m:r>
          </m:sub>
        </m:sSub>
      </m:oMath>
      <w:r w:rsidR="009476C5" w:rsidRPr="00D9196E">
        <w:rPr>
          <w:rFonts w:ascii="Verdana" w:eastAsiaTheme="minorEastAsia" w:hAnsi="Verdana" w:cs="Arial"/>
          <w:color w:val="000000"/>
          <w:sz w:val="20"/>
          <w:szCs w:val="20"/>
        </w:rPr>
        <w:t xml:space="preserve">: </w:t>
      </w:r>
      <w:r w:rsidR="009476C5" w:rsidRPr="00D9196E">
        <w:rPr>
          <w:rFonts w:ascii="Verdana" w:eastAsiaTheme="minorEastAsia" w:hAnsi="Verdana" w:cs="Arial"/>
          <w:iCs/>
          <w:color w:val="000000"/>
          <w:sz w:val="20"/>
          <w:szCs w:val="20"/>
        </w:rPr>
        <w:t xml:space="preserve">Flujo </w:t>
      </w:r>
      <m:oMath>
        <m:r>
          <w:rPr>
            <w:rFonts w:ascii="Cambria Math" w:eastAsiaTheme="minorEastAsia" w:hAnsi="Cambria Math" w:cs="Arial"/>
            <w:color w:val="000000"/>
            <w:sz w:val="20"/>
            <w:szCs w:val="20"/>
          </w:rPr>
          <m:t>j</m:t>
        </m:r>
      </m:oMath>
      <w:r w:rsidR="009476C5" w:rsidRPr="00D9196E">
        <w:rPr>
          <w:rFonts w:ascii="Verdana" w:eastAsiaTheme="minorEastAsia" w:hAnsi="Verdana" w:cs="Arial"/>
          <w:iCs/>
          <w:color w:val="000000"/>
          <w:sz w:val="20"/>
          <w:szCs w:val="20"/>
        </w:rPr>
        <w:t xml:space="preserve"> del pasivo.</w:t>
      </w:r>
    </w:p>
    <w:p w14:paraId="1B340830" w14:textId="77777777" w:rsidR="009476C5" w:rsidRPr="00D9196E" w:rsidRDefault="009476C5" w:rsidP="009476C5">
      <w:pPr>
        <w:ind w:left="567"/>
        <w:jc w:val="both"/>
        <w:rPr>
          <w:rFonts w:ascii="Verdana" w:eastAsiaTheme="minorEastAsia" w:hAnsi="Verdana" w:cs="Arial"/>
          <w:color w:val="000000"/>
          <w:sz w:val="20"/>
          <w:szCs w:val="20"/>
        </w:rPr>
      </w:pPr>
      <m:oMath>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oMath>
      <w:r w:rsidRPr="00D9196E">
        <w:rPr>
          <w:rFonts w:ascii="Verdana" w:eastAsiaTheme="minorEastAsia" w:hAnsi="Verdana" w:cs="Arial"/>
          <w:color w:val="000000"/>
          <w:sz w:val="20"/>
          <w:szCs w:val="20"/>
        </w:rPr>
        <w:t>:</w:t>
      </w:r>
      <w:r w:rsidRPr="00D9196E">
        <w:rPr>
          <w:rFonts w:ascii="Verdana" w:eastAsiaTheme="minorEastAsia" w:hAnsi="Verdana" w:cs="Arial"/>
          <w:iCs/>
          <w:color w:val="000000"/>
          <w:sz w:val="20"/>
          <w:szCs w:val="20"/>
        </w:rPr>
        <w:t xml:space="preserve"> Vencimiento del flujo </w:t>
      </w:r>
      <m:oMath>
        <m:sSub>
          <m:sSubPr>
            <m:ctrlPr>
              <w:rPr>
                <w:rFonts w:ascii="Cambria Math" w:hAnsi="Cambria Math" w:cs="Arial"/>
                <w:i/>
                <w:color w:val="000000"/>
                <w:sz w:val="20"/>
                <w:szCs w:val="20"/>
              </w:rPr>
            </m:ctrlPr>
          </m:sSubPr>
          <m:e>
            <m:r>
              <w:rPr>
                <w:rFonts w:ascii="Cambria Math" w:hAnsi="Cambria Math" w:cs="Arial"/>
                <w:color w:val="000000"/>
                <w:sz w:val="20"/>
                <w:szCs w:val="20"/>
              </w:rPr>
              <m:t>F</m:t>
            </m:r>
          </m:e>
          <m:sub>
            <m:r>
              <w:rPr>
                <w:rFonts w:ascii="Cambria Math" w:hAnsi="Cambria Math" w:cs="Arial"/>
                <w:color w:val="000000"/>
                <w:sz w:val="20"/>
                <w:szCs w:val="20"/>
              </w:rPr>
              <m:t>j</m:t>
            </m:r>
          </m:sub>
        </m:sSub>
      </m:oMath>
      <w:r w:rsidRPr="00D9196E">
        <w:rPr>
          <w:rFonts w:ascii="Verdana" w:eastAsiaTheme="minorEastAsia" w:hAnsi="Verdana" w:cs="Arial"/>
          <w:iCs/>
          <w:color w:val="000000"/>
          <w:sz w:val="20"/>
          <w:szCs w:val="20"/>
        </w:rPr>
        <w:t xml:space="preserve"> en años. </w:t>
      </w:r>
      <m:oMath>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oMath>
      <w:r w:rsidRPr="00D9196E">
        <w:rPr>
          <w:rFonts w:ascii="Verdana" w:eastAsiaTheme="minorEastAsia" w:hAnsi="Verdana" w:cs="Arial"/>
          <w:color w:val="000000"/>
          <w:sz w:val="20"/>
          <w:szCs w:val="20"/>
        </w:rPr>
        <w:t xml:space="preserve"> puede ser no entero.</w:t>
      </w:r>
    </w:p>
    <w:p w14:paraId="22ECFFB7" w14:textId="77777777" w:rsidR="009476C5" w:rsidRPr="00D9196E" w:rsidRDefault="00000000" w:rsidP="009476C5">
      <w:pPr>
        <w:ind w:left="567"/>
        <w:jc w:val="both"/>
        <w:rPr>
          <w:rFonts w:ascii="Verdana" w:eastAsiaTheme="minorEastAsia" w:hAnsi="Verdana" w:cs="Arial"/>
          <w:iCs/>
          <w:color w:val="000000"/>
          <w:sz w:val="20"/>
          <w:szCs w:val="20"/>
        </w:rPr>
      </w:pPr>
      <m:oMath>
        <m:d>
          <m:dPr>
            <m:begChr m:val="["/>
            <m:endChr m:val="]"/>
            <m:ctrlPr>
              <w:rPr>
                <w:rFonts w:ascii="Cambria Math" w:eastAsiaTheme="minorEastAsia" w:hAnsi="Cambria Math" w:cs="Arial"/>
                <w:i/>
                <w:iCs/>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e>
        </m:d>
        <m:r>
          <w:rPr>
            <w:rFonts w:ascii="Cambria Math" w:eastAsiaTheme="minorEastAsia" w:hAnsi="Cambria Math" w:cs="Arial"/>
            <w:color w:val="000000"/>
            <w:sz w:val="20"/>
            <w:szCs w:val="20"/>
          </w:rPr>
          <m:t xml:space="preserve">: </m:t>
        </m:r>
      </m:oMath>
      <w:r w:rsidR="009476C5" w:rsidRPr="00D9196E">
        <w:rPr>
          <w:rFonts w:ascii="Verdana" w:eastAsiaTheme="minorEastAsia" w:hAnsi="Verdana" w:cs="Arial"/>
          <w:color w:val="000000"/>
          <w:sz w:val="20"/>
          <w:szCs w:val="20"/>
        </w:rPr>
        <w:t>Corresponde al e</w:t>
      </w:r>
      <w:r w:rsidR="009476C5" w:rsidRPr="00D9196E">
        <w:rPr>
          <w:rFonts w:ascii="Verdana" w:eastAsiaTheme="minorEastAsia" w:hAnsi="Verdana" w:cs="Arial"/>
          <w:iCs/>
          <w:color w:val="000000"/>
          <w:sz w:val="20"/>
          <w:szCs w:val="20"/>
        </w:rPr>
        <w:t xml:space="preserve">ntero positivo más próximo a </w:t>
      </w:r>
      <m:oMath>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oMath>
      <w:r w:rsidR="009476C5" w:rsidRPr="00D9196E">
        <w:rPr>
          <w:rFonts w:ascii="Verdana" w:eastAsiaTheme="minorEastAsia" w:hAnsi="Verdana" w:cs="Arial"/>
          <w:color w:val="000000"/>
          <w:sz w:val="20"/>
          <w:szCs w:val="20"/>
        </w:rPr>
        <w:t xml:space="preserve">. Para los flujos anteriores al primer nodo, </w:t>
      </w:r>
      <m:oMath>
        <m:d>
          <m:dPr>
            <m:begChr m:val="["/>
            <m:endChr m:val="]"/>
            <m:ctrlPr>
              <w:rPr>
                <w:rFonts w:ascii="Cambria Math" w:eastAsiaTheme="minorEastAsia"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e>
        </m:d>
        <m:r>
          <w:rPr>
            <w:rFonts w:ascii="Cambria Math" w:eastAsiaTheme="minorEastAsia" w:hAnsi="Cambria Math" w:cs="Arial"/>
            <w:color w:val="000000"/>
            <w:sz w:val="20"/>
            <w:szCs w:val="20"/>
          </w:rPr>
          <m:t>=1</m:t>
        </m:r>
      </m:oMath>
      <w:r w:rsidR="009476C5" w:rsidRPr="00D9196E">
        <w:rPr>
          <w:rFonts w:ascii="Verdana" w:eastAsiaTheme="minorEastAsia" w:hAnsi="Verdana" w:cs="Arial"/>
          <w:color w:val="000000"/>
          <w:sz w:val="20"/>
          <w:szCs w:val="20"/>
        </w:rPr>
        <w:t xml:space="preserve">. Para el punto medio entre enteros se tomará el entero positivo mayor (por ejemplo, si </w:t>
      </w:r>
      <m:oMath>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r>
          <w:rPr>
            <w:rFonts w:ascii="Cambria Math" w:eastAsiaTheme="minorEastAsia" w:hAnsi="Cambria Math" w:cs="Arial"/>
            <w:color w:val="000000"/>
            <w:sz w:val="20"/>
            <w:szCs w:val="20"/>
          </w:rPr>
          <m:t xml:space="preserve">=1.5 </m:t>
        </m:r>
      </m:oMath>
      <w:r w:rsidR="009476C5" w:rsidRPr="00D9196E">
        <w:rPr>
          <w:rFonts w:ascii="Verdana" w:eastAsiaTheme="minorEastAsia" w:hAnsi="Verdana" w:cs="Arial"/>
          <w:color w:val="000000"/>
          <w:sz w:val="20"/>
          <w:szCs w:val="20"/>
        </w:rPr>
        <w:t xml:space="preserve">, entonces </w:t>
      </w:r>
      <m:oMath>
        <m:d>
          <m:dPr>
            <m:begChr m:val="["/>
            <m:endChr m:val="]"/>
            <m:ctrlPr>
              <w:rPr>
                <w:rFonts w:ascii="Cambria Math" w:eastAsiaTheme="minorEastAsia"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e>
        </m:d>
        <m:r>
          <w:rPr>
            <w:rFonts w:ascii="Cambria Math" w:eastAsiaTheme="minorEastAsia" w:hAnsi="Cambria Math" w:cs="Arial"/>
            <w:color w:val="000000"/>
            <w:sz w:val="20"/>
            <w:szCs w:val="20"/>
          </w:rPr>
          <m:t>=2</m:t>
        </m:r>
      </m:oMath>
      <w:r w:rsidR="009476C5" w:rsidRPr="00D9196E">
        <w:rPr>
          <w:rFonts w:ascii="Verdana" w:eastAsiaTheme="minorEastAsia" w:hAnsi="Verdana" w:cs="Arial"/>
          <w:color w:val="000000"/>
          <w:sz w:val="20"/>
          <w:szCs w:val="20"/>
        </w:rPr>
        <w:t>).</w:t>
      </w:r>
    </w:p>
    <w:p w14:paraId="5EF104C9" w14:textId="16D514AF" w:rsidR="009476C5" w:rsidRPr="00D9196E" w:rsidRDefault="00000000" w:rsidP="00E4113F">
      <w:pPr>
        <w:ind w:left="567"/>
        <w:jc w:val="both"/>
        <w:rPr>
          <w:rFonts w:ascii="Verdana" w:eastAsiaTheme="minorEastAsia" w:hAnsi="Verdana" w:cs="Arial"/>
          <w:iCs/>
          <w:color w:val="000000"/>
          <w:sz w:val="20"/>
          <w:szCs w:val="20"/>
        </w:rPr>
      </w:pPr>
      <m:oMath>
        <m:sSub>
          <m:sSubPr>
            <m:ctrlPr>
              <w:rPr>
                <w:rFonts w:ascii="Cambria Math" w:hAnsi="Cambria Math" w:cs="Arial"/>
                <w:i/>
                <w:iCs/>
                <w:color w:val="000000"/>
                <w:sz w:val="20"/>
                <w:szCs w:val="20"/>
              </w:rPr>
            </m:ctrlPr>
          </m:sSubPr>
          <m:e>
            <m:r>
              <w:rPr>
                <w:rFonts w:ascii="Cambria Math" w:hAnsi="Cambria Math" w:cs="Arial"/>
                <w:color w:val="000000"/>
                <w:sz w:val="20"/>
                <w:szCs w:val="20"/>
              </w:rPr>
              <m:t>CRLR</m:t>
            </m:r>
          </m:e>
          <m:sub>
            <m:d>
              <m:dPr>
                <m:begChr m:val="["/>
                <m:endChr m:val="]"/>
                <m:ctrlPr>
                  <w:rPr>
                    <w:rFonts w:ascii="Cambria Math"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e>
            </m:d>
          </m:sub>
        </m:sSub>
      </m:oMath>
      <w:r w:rsidR="009476C5" w:rsidRPr="00D9196E">
        <w:rPr>
          <w:rFonts w:ascii="Verdana" w:eastAsiaTheme="minorEastAsia" w:hAnsi="Verdana" w:cs="Arial"/>
          <w:iCs/>
          <w:color w:val="000000"/>
          <w:sz w:val="20"/>
          <w:szCs w:val="20"/>
        </w:rPr>
        <w:t xml:space="preserve">: </w:t>
      </w:r>
      <w:r w:rsidR="006227C7" w:rsidRPr="00D9196E">
        <w:rPr>
          <w:rFonts w:ascii="Verdana" w:eastAsiaTheme="minorEastAsia" w:hAnsi="Verdana" w:cs="Arial"/>
          <w:iCs/>
          <w:color w:val="000000"/>
          <w:sz w:val="20"/>
          <w:szCs w:val="20"/>
        </w:rPr>
        <w:t>Curva de rendimiento libre de riesgo</w:t>
      </w:r>
      <w:r w:rsidR="009476C5" w:rsidRPr="00D9196E">
        <w:rPr>
          <w:rFonts w:ascii="Verdana" w:eastAsiaTheme="minorEastAsia" w:hAnsi="Verdana" w:cs="Arial"/>
          <w:iCs/>
          <w:color w:val="000000"/>
          <w:sz w:val="20"/>
          <w:szCs w:val="20"/>
        </w:rPr>
        <w:t xml:space="preserve"> </w:t>
      </w:r>
      <w:r w:rsidR="00090967" w:rsidRPr="00D9196E">
        <w:rPr>
          <w:rFonts w:ascii="Verdana" w:eastAsiaTheme="minorEastAsia" w:hAnsi="Verdana" w:cs="Arial"/>
          <w:iCs/>
          <w:color w:val="000000"/>
          <w:sz w:val="20"/>
          <w:szCs w:val="20"/>
        </w:rPr>
        <w:t xml:space="preserve">en términos reales </w:t>
      </w:r>
      <w:r w:rsidR="009476C5" w:rsidRPr="00D9196E">
        <w:rPr>
          <w:rFonts w:ascii="Verdana" w:eastAsiaTheme="minorEastAsia" w:hAnsi="Verdana" w:cs="Arial"/>
          <w:iCs/>
          <w:color w:val="000000"/>
          <w:sz w:val="20"/>
          <w:szCs w:val="20"/>
        </w:rPr>
        <w:t xml:space="preserve">correspondiente al año </w:t>
      </w:r>
      <m:oMath>
        <m:d>
          <m:dPr>
            <m:begChr m:val="["/>
            <m:endChr m:val="]"/>
            <m:ctrlPr>
              <w:rPr>
                <w:rFonts w:ascii="Cambria Math"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FX</m:t>
                </m:r>
              </m:e>
              <m:sub>
                <m:r>
                  <w:rPr>
                    <w:rFonts w:ascii="Cambria Math" w:hAnsi="Cambria Math" w:cs="Arial"/>
                    <w:color w:val="000000"/>
                    <w:sz w:val="20"/>
                    <w:szCs w:val="20"/>
                  </w:rPr>
                  <m:t>j</m:t>
                </m:r>
              </m:sub>
            </m:sSub>
            <m:r>
              <w:rPr>
                <w:rFonts w:ascii="Cambria Math" w:hAnsi="Cambria Math" w:cs="Arial"/>
                <w:color w:val="000000"/>
                <w:sz w:val="20"/>
                <w:szCs w:val="20"/>
              </w:rPr>
              <m:t>)</m:t>
            </m:r>
          </m:e>
        </m:d>
      </m:oMath>
      <w:r w:rsidR="00F76485" w:rsidRPr="00D9196E">
        <w:rPr>
          <w:rFonts w:ascii="Verdana" w:eastAsiaTheme="minorEastAsia" w:hAnsi="Verdana" w:cs="Arial"/>
          <w:color w:val="000000"/>
          <w:sz w:val="20"/>
          <w:szCs w:val="20"/>
        </w:rPr>
        <w:t xml:space="preserve"> conforme a lo establecido</w:t>
      </w:r>
      <w:r w:rsidR="009476C5" w:rsidRPr="00D9196E">
        <w:rPr>
          <w:rFonts w:ascii="Verdana" w:eastAsiaTheme="minorEastAsia" w:hAnsi="Verdana" w:cs="Arial"/>
          <w:iCs/>
          <w:color w:val="000000"/>
          <w:sz w:val="20"/>
          <w:szCs w:val="20"/>
        </w:rPr>
        <w:t xml:space="preserve"> </w:t>
      </w:r>
      <w:r w:rsidR="00F76485" w:rsidRPr="00D9196E">
        <w:rPr>
          <w:rFonts w:ascii="Verdana" w:hAnsi="Verdana" w:cs="Arial"/>
          <w:sz w:val="20"/>
          <w:szCs w:val="20"/>
        </w:rPr>
        <w:t xml:space="preserve">en </w:t>
      </w:r>
      <w:r w:rsidR="005B17CA">
        <w:rPr>
          <w:rFonts w:ascii="Verdana" w:hAnsi="Verdana" w:cs="Arial"/>
          <w:sz w:val="20"/>
          <w:szCs w:val="20"/>
        </w:rPr>
        <w:t xml:space="preserve">los párrafos 2.3.9. a 2.3.11. </w:t>
      </w:r>
      <w:r w:rsidR="005B17CA" w:rsidRPr="00D9196E">
        <w:rPr>
          <w:rFonts w:ascii="Verdana" w:hAnsi="Verdana" w:cs="Arial"/>
          <w:spacing w:val="-3"/>
          <w:sz w:val="20"/>
          <w:szCs w:val="20"/>
        </w:rPr>
        <w:t xml:space="preserve">del </w:t>
      </w:r>
      <w:r w:rsidR="005B17CA">
        <w:rPr>
          <w:rFonts w:ascii="Verdana" w:hAnsi="Verdana" w:cs="Arial"/>
          <w:spacing w:val="-3"/>
          <w:sz w:val="20"/>
          <w:szCs w:val="20"/>
        </w:rPr>
        <w:t>c</w:t>
      </w:r>
      <w:r w:rsidR="005B17CA" w:rsidRPr="00D9196E">
        <w:rPr>
          <w:rFonts w:ascii="Verdana" w:hAnsi="Verdana" w:cs="Arial"/>
          <w:spacing w:val="-3"/>
          <w:sz w:val="20"/>
          <w:szCs w:val="20"/>
        </w:rPr>
        <w:t xml:space="preserve">apítulo 3 de la </w:t>
      </w:r>
      <w:r w:rsidR="005B17CA">
        <w:rPr>
          <w:rFonts w:ascii="Verdana" w:hAnsi="Verdana" w:cs="Arial"/>
          <w:spacing w:val="-3"/>
          <w:sz w:val="20"/>
          <w:szCs w:val="20"/>
        </w:rPr>
        <w:t>p</w:t>
      </w:r>
      <w:r w:rsidR="005B17CA" w:rsidRPr="00D9196E">
        <w:rPr>
          <w:rFonts w:ascii="Verdana" w:hAnsi="Verdana" w:cs="Arial"/>
          <w:spacing w:val="-3"/>
          <w:sz w:val="20"/>
          <w:szCs w:val="20"/>
        </w:rPr>
        <w:t>arte 2 de la C</w:t>
      </w:r>
      <w:r w:rsidR="005B17CA">
        <w:rPr>
          <w:rFonts w:ascii="Verdana" w:hAnsi="Verdana" w:cs="Arial"/>
          <w:spacing w:val="-3"/>
          <w:sz w:val="20"/>
          <w:szCs w:val="20"/>
        </w:rPr>
        <w:t>B</w:t>
      </w:r>
      <w:r w:rsidR="005B17CA" w:rsidRPr="00D9196E">
        <w:rPr>
          <w:rFonts w:ascii="Verdana" w:hAnsi="Verdana" w:cs="Arial"/>
          <w:spacing w:val="-3"/>
          <w:sz w:val="20"/>
          <w:szCs w:val="20"/>
        </w:rPr>
        <w:t>F</w:t>
      </w:r>
      <w:r w:rsidR="007351D1" w:rsidRPr="00D9196E">
        <w:rPr>
          <w:rFonts w:ascii="Verdana" w:eastAsiaTheme="minorEastAsia" w:hAnsi="Verdana" w:cs="Arial"/>
          <w:iCs/>
          <w:color w:val="000000"/>
          <w:sz w:val="20"/>
          <w:szCs w:val="20"/>
        </w:rPr>
        <w:t>.</w:t>
      </w:r>
    </w:p>
    <w:p w14:paraId="5F516A62" w14:textId="77777777" w:rsidR="009476C5" w:rsidRPr="00D9196E" w:rsidRDefault="009476C5" w:rsidP="009476C5">
      <w:pPr>
        <w:ind w:left="567"/>
        <w:jc w:val="both"/>
        <w:rPr>
          <w:rFonts w:ascii="Verdana" w:eastAsiaTheme="minorEastAsia" w:hAnsi="Verdana" w:cs="Arial"/>
          <w:iCs/>
          <w:color w:val="000000"/>
          <w:sz w:val="20"/>
          <w:szCs w:val="20"/>
        </w:rPr>
      </w:pPr>
      <w:r w:rsidRPr="00D9196E">
        <w:rPr>
          <w:rFonts w:ascii="Verdana" w:eastAsiaTheme="minorEastAsia" w:hAnsi="Verdana" w:cs="Arial"/>
          <w:iCs/>
          <w:color w:val="000000"/>
          <w:sz w:val="20"/>
          <w:szCs w:val="20"/>
        </w:rPr>
        <w:t xml:space="preserve">Con </w:t>
      </w:r>
      <m:oMath>
        <m:r>
          <w:rPr>
            <w:rFonts w:ascii="Cambria Math" w:eastAsiaTheme="minorEastAsia" w:hAnsi="Cambria Math" w:cs="Arial"/>
            <w:color w:val="000000"/>
            <w:sz w:val="20"/>
            <w:szCs w:val="20"/>
          </w:rPr>
          <m:t>X=</m:t>
        </m:r>
        <m:d>
          <m:dPr>
            <m:begChr m:val="{"/>
            <m:endChr m:val=""/>
            <m:ctrlPr>
              <w:rPr>
                <w:rFonts w:ascii="Cambria Math" w:eastAsiaTheme="minorEastAsia" w:hAnsi="Cambria Math" w:cs="Arial"/>
                <w:i/>
                <w:iCs/>
                <w:color w:val="000000"/>
                <w:sz w:val="20"/>
                <w:szCs w:val="20"/>
              </w:rPr>
            </m:ctrlPr>
          </m:dPr>
          <m:e>
            <m:m>
              <m:mPr>
                <m:mcs>
                  <m:mc>
                    <m:mcPr>
                      <m:count m:val="1"/>
                      <m:mcJc m:val="center"/>
                    </m:mcPr>
                  </m:mc>
                </m:mcs>
                <m:ctrlPr>
                  <w:rPr>
                    <w:rFonts w:ascii="Cambria Math" w:eastAsiaTheme="minorEastAsia" w:hAnsi="Cambria Math" w:cs="Arial"/>
                    <w:i/>
                    <w:iCs/>
                    <w:color w:val="000000"/>
                    <w:sz w:val="20"/>
                    <w:szCs w:val="20"/>
                  </w:rPr>
                </m:ctrlPr>
              </m:mPr>
              <m:mr>
                <m:e>
                  <m:r>
                    <w:rPr>
                      <w:rFonts w:ascii="Cambria Math" w:eastAsiaTheme="minorEastAsia" w:hAnsi="Cambria Math" w:cs="Arial"/>
                      <w:color w:val="000000"/>
                      <w:sz w:val="20"/>
                      <w:szCs w:val="20"/>
                    </w:rPr>
                    <m:t>A, para activo</m:t>
                  </m:r>
                </m:e>
              </m:mr>
              <m:mr>
                <m:e>
                  <m:r>
                    <w:rPr>
                      <w:rFonts w:ascii="Cambria Math" w:eastAsiaTheme="minorEastAsia" w:hAnsi="Cambria Math" w:cs="Arial"/>
                      <w:color w:val="000000"/>
                      <w:sz w:val="20"/>
                      <w:szCs w:val="20"/>
                    </w:rPr>
                    <m:t>P, para pasivo</m:t>
                  </m:r>
                </m:e>
              </m:mr>
            </m:m>
          </m:e>
        </m:d>
      </m:oMath>
    </w:p>
    <w:p w14:paraId="1731CB38" w14:textId="127315C2" w:rsidR="009476C5" w:rsidRPr="00D9196E" w:rsidRDefault="009476C5" w:rsidP="43C4F2FA">
      <w:pPr>
        <w:pStyle w:val="Prrafodelista"/>
        <w:numPr>
          <w:ilvl w:val="0"/>
          <w:numId w:val="8"/>
        </w:numPr>
        <w:spacing w:after="0" w:line="240" w:lineRule="auto"/>
        <w:ind w:left="567" w:hanging="567"/>
        <w:jc w:val="both"/>
        <w:rPr>
          <w:rFonts w:ascii="Verdana" w:hAnsi="Verdana" w:cs="Arial"/>
          <w:sz w:val="20"/>
          <w:szCs w:val="20"/>
        </w:rPr>
      </w:pPr>
      <w:r w:rsidRPr="00D9196E">
        <w:rPr>
          <w:rFonts w:ascii="Verdana" w:hAnsi="Verdana" w:cs="Arial"/>
          <w:sz w:val="20"/>
          <w:szCs w:val="20"/>
        </w:rPr>
        <w:t xml:space="preserve">Calcular la insuficiencia o suficiencia en valor presente para cada tramo como la diferencia entre los flujos de pasivos y de activos (ajustados por riesgo de crédito) que vencen dentro del respectivo tramo, así: </w:t>
      </w:r>
    </w:p>
    <w:p w14:paraId="6C4DE534" w14:textId="77777777" w:rsidR="009476C5" w:rsidRPr="00D9196E" w:rsidRDefault="009476C5" w:rsidP="009476C5">
      <w:pPr>
        <w:jc w:val="both"/>
        <w:rPr>
          <w:rFonts w:ascii="Verdana" w:hAnsi="Verdana" w:cs="Arial"/>
          <w:sz w:val="16"/>
          <w:szCs w:val="16"/>
          <w:lang w:val="es-ES_tradnl"/>
        </w:rPr>
      </w:pPr>
    </w:p>
    <w:p w14:paraId="035EEF22" w14:textId="77777777" w:rsidR="009476C5" w:rsidRPr="00D9196E" w:rsidRDefault="00000000" w:rsidP="009476C5">
      <w:pPr>
        <w:jc w:val="both"/>
        <w:rPr>
          <w:rFonts w:ascii="Verdana" w:eastAsiaTheme="minorEastAsia" w:hAnsi="Verdana" w:cs="Arial"/>
          <w:sz w:val="20"/>
          <w:szCs w:val="20"/>
        </w:rPr>
      </w:pPr>
      <m:oMathPara>
        <m:oMath>
          <m:sSub>
            <m:sSubPr>
              <m:ctrlPr>
                <w:rPr>
                  <w:rFonts w:ascii="Cambria Math" w:hAnsi="Cambria Math" w:cs="Arial"/>
                  <w:i/>
                  <w:sz w:val="20"/>
                  <w:szCs w:val="20"/>
                  <w:lang w:val="es-ES_tradnl"/>
                </w:rPr>
              </m:ctrlPr>
            </m:sSubPr>
            <m:e>
              <m:r>
                <w:rPr>
                  <w:rFonts w:ascii="Cambria Math" w:hAnsi="Cambria Math" w:cs="Arial"/>
                  <w:sz w:val="20"/>
                  <w:szCs w:val="20"/>
                  <w:lang w:val="es-ES_tradnl"/>
                </w:rPr>
                <m:t>SVPFP</m:t>
              </m:r>
            </m:e>
            <m:sub>
              <m:r>
                <w:rPr>
                  <w:rFonts w:ascii="Cambria Math" w:hAnsi="Cambria Math" w:cs="Arial"/>
                  <w:sz w:val="20"/>
                  <w:szCs w:val="20"/>
                  <w:lang w:val="es-ES_tradnl"/>
                </w:rPr>
                <m:t>t</m:t>
              </m:r>
            </m:sub>
          </m:sSub>
          <m:r>
            <w:rPr>
              <w:rFonts w:ascii="Cambria Math" w:hAnsi="Cambria Math" w:cs="Arial"/>
              <w:sz w:val="20"/>
              <w:szCs w:val="20"/>
              <w:lang w:val="es-ES_tradnl"/>
            </w:rPr>
            <m:t>=</m:t>
          </m:r>
          <m:nary>
            <m:naryPr>
              <m:chr m:val="∑"/>
              <m:limLoc m:val="undOvr"/>
              <m:supHide m:val="1"/>
              <m:ctrlPr>
                <w:rPr>
                  <w:rFonts w:ascii="Cambria Math" w:hAnsi="Cambria Math" w:cs="Arial"/>
                  <w:i/>
                  <w:sz w:val="20"/>
                  <w:szCs w:val="20"/>
                </w:rPr>
              </m:ctrlPr>
            </m:naryPr>
            <m:sub>
              <m:d>
                <m:dPr>
                  <m:begChr m:val="["/>
                  <m:endChr m:val="]"/>
                  <m:ctrlPr>
                    <w:rPr>
                      <w:rFonts w:ascii="Cambria Math" w:hAnsi="Cambria Math" w:cs="Arial"/>
                      <w:i/>
                      <w:color w:val="000000"/>
                      <w:sz w:val="20"/>
                      <w:szCs w:val="20"/>
                    </w:rPr>
                  </m:ctrlPr>
                </m:dPr>
                <m:e>
                  <m:r>
                    <w:rPr>
                      <w:rFonts w:ascii="Cambria Math" w:hAnsi="Cambria Math" w:cs="Arial"/>
                      <w:color w:val="000000"/>
                      <w:sz w:val="20"/>
                      <w:szCs w:val="20"/>
                    </w:rPr>
                    <m:t>k</m:t>
                  </m:r>
                  <m:d>
                    <m:dPr>
                      <m:ctrlPr>
                        <w:rPr>
                          <w:rFonts w:ascii="Cambria Math" w:hAnsi="Cambria Math" w:cs="Arial"/>
                          <w:i/>
                          <w:color w:val="000000"/>
                          <w:sz w:val="20"/>
                          <w:szCs w:val="20"/>
                        </w:rPr>
                      </m:ctrlPr>
                    </m:dPr>
                    <m:e>
                      <m:sSub>
                        <m:sSubPr>
                          <m:ctrlPr>
                            <w:rPr>
                              <w:rFonts w:ascii="Cambria Math" w:hAnsi="Cambria Math" w:cs="Arial"/>
                              <w:i/>
                              <w:color w:val="000000"/>
                              <w:sz w:val="20"/>
                              <w:szCs w:val="20"/>
                            </w:rPr>
                          </m:ctrlPr>
                        </m:sSubPr>
                        <m:e>
                          <m:r>
                            <w:rPr>
                              <w:rFonts w:ascii="Cambria Math" w:hAnsi="Cambria Math" w:cs="Arial"/>
                              <w:color w:val="000000"/>
                              <w:sz w:val="20"/>
                              <w:szCs w:val="20"/>
                            </w:rPr>
                            <m:t>FP</m:t>
                          </m:r>
                        </m:e>
                        <m:sub>
                          <m:r>
                            <w:rPr>
                              <w:rFonts w:ascii="Cambria Math" w:hAnsi="Cambria Math" w:cs="Arial"/>
                              <w:color w:val="000000"/>
                              <w:sz w:val="20"/>
                              <w:szCs w:val="20"/>
                            </w:rPr>
                            <m:t>j</m:t>
                          </m:r>
                        </m:sub>
                      </m:sSub>
                    </m:e>
                  </m:d>
                </m:e>
              </m:d>
              <m:r>
                <w:rPr>
                  <w:rFonts w:ascii="Cambria Math" w:hAnsi="Cambria Math" w:cs="Arial"/>
                  <w:color w:val="000000"/>
                  <w:sz w:val="20"/>
                  <w:szCs w:val="20"/>
                </w:rPr>
                <m:t>= t</m:t>
              </m:r>
            </m:sub>
            <m:sup/>
            <m:e>
              <m:r>
                <w:rPr>
                  <w:rFonts w:ascii="Cambria Math" w:hAnsi="Cambria Math" w:cs="Arial"/>
                  <w:sz w:val="20"/>
                  <w:szCs w:val="20"/>
                </w:rPr>
                <m:t>VP</m:t>
              </m:r>
              <m:sSub>
                <m:sSubPr>
                  <m:ctrlPr>
                    <w:rPr>
                      <w:rFonts w:ascii="Cambria Math" w:hAnsi="Cambria Math" w:cs="Arial"/>
                      <w:i/>
                      <w:iCs/>
                      <w:color w:val="000000"/>
                      <w:sz w:val="20"/>
                      <w:szCs w:val="20"/>
                    </w:rPr>
                  </m:ctrlPr>
                </m:sSubPr>
                <m:e>
                  <m:r>
                    <w:rPr>
                      <w:rFonts w:ascii="Cambria Math" w:hAnsi="Cambria Math" w:cs="Arial"/>
                      <w:color w:val="000000"/>
                      <w:sz w:val="20"/>
                      <w:szCs w:val="20"/>
                    </w:rPr>
                    <m:t>FP</m:t>
                  </m:r>
                </m:e>
                <m:sub>
                  <m:r>
                    <w:rPr>
                      <w:rFonts w:ascii="Cambria Math" w:hAnsi="Cambria Math" w:cs="Arial"/>
                      <w:color w:val="000000"/>
                      <w:sz w:val="20"/>
                      <w:szCs w:val="20"/>
                    </w:rPr>
                    <m:t>j</m:t>
                  </m:r>
                </m:sub>
              </m:sSub>
            </m:e>
          </m:nary>
        </m:oMath>
      </m:oMathPara>
    </w:p>
    <w:p w14:paraId="6C08ACE9" w14:textId="77777777" w:rsidR="009476C5" w:rsidRPr="00D9196E" w:rsidRDefault="009476C5" w:rsidP="009476C5">
      <w:pPr>
        <w:jc w:val="both"/>
        <w:rPr>
          <w:rFonts w:ascii="Verdana" w:eastAsiaTheme="minorEastAsia" w:hAnsi="Verdana" w:cs="Arial"/>
          <w:sz w:val="20"/>
          <w:szCs w:val="20"/>
        </w:rPr>
      </w:pPr>
    </w:p>
    <w:p w14:paraId="23DE6460" w14:textId="77777777" w:rsidR="009476C5" w:rsidRPr="00D9196E" w:rsidRDefault="00000000" w:rsidP="009476C5">
      <w:pPr>
        <w:jc w:val="both"/>
        <w:rPr>
          <w:rFonts w:ascii="Verdana" w:eastAsiaTheme="minorEastAsia" w:hAnsi="Verdana" w:cs="Arial"/>
          <w:sz w:val="20"/>
          <w:szCs w:val="20"/>
        </w:rPr>
      </w:pPr>
      <m:oMathPara>
        <m:oMath>
          <m:sSub>
            <m:sSubPr>
              <m:ctrlPr>
                <w:rPr>
                  <w:rFonts w:ascii="Cambria Math" w:hAnsi="Cambria Math" w:cs="Arial"/>
                  <w:i/>
                  <w:sz w:val="20"/>
                  <w:szCs w:val="20"/>
                  <w:lang w:val="es-ES_tradnl"/>
                </w:rPr>
              </m:ctrlPr>
            </m:sSubPr>
            <m:e>
              <m:r>
                <w:rPr>
                  <w:rFonts w:ascii="Cambria Math" w:hAnsi="Cambria Math" w:cs="Arial"/>
                  <w:sz w:val="20"/>
                  <w:szCs w:val="20"/>
                  <w:lang w:val="es-ES_tradnl"/>
                </w:rPr>
                <m:t>SVPFA</m:t>
              </m:r>
            </m:e>
            <m:sub>
              <m:r>
                <w:rPr>
                  <w:rFonts w:ascii="Cambria Math" w:hAnsi="Cambria Math" w:cs="Arial"/>
                  <w:sz w:val="20"/>
                  <w:szCs w:val="20"/>
                  <w:lang w:val="es-ES_tradnl"/>
                </w:rPr>
                <m:t>t</m:t>
              </m:r>
            </m:sub>
          </m:sSub>
          <m:r>
            <w:rPr>
              <w:rFonts w:ascii="Cambria Math" w:hAnsi="Cambria Math" w:cs="Arial"/>
              <w:sz w:val="20"/>
              <w:szCs w:val="20"/>
              <w:lang w:val="es-ES_tradnl"/>
            </w:rPr>
            <m:t>=</m:t>
          </m:r>
          <m:nary>
            <m:naryPr>
              <m:chr m:val="∑"/>
              <m:limLoc m:val="undOvr"/>
              <m:supHide m:val="1"/>
              <m:ctrlPr>
                <w:rPr>
                  <w:rFonts w:ascii="Cambria Math" w:hAnsi="Cambria Math" w:cs="Arial"/>
                  <w:i/>
                  <w:sz w:val="20"/>
                  <w:szCs w:val="20"/>
                </w:rPr>
              </m:ctrlPr>
            </m:naryPr>
            <m:sub>
              <m:d>
                <m:dPr>
                  <m:begChr m:val="["/>
                  <m:endChr m:val="]"/>
                  <m:ctrlPr>
                    <w:rPr>
                      <w:rFonts w:ascii="Cambria Math"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FA</m:t>
                      </m:r>
                    </m:e>
                    <m:sub>
                      <m:r>
                        <w:rPr>
                          <w:rFonts w:ascii="Cambria Math" w:hAnsi="Cambria Math" w:cs="Arial"/>
                          <w:color w:val="000000"/>
                          <w:sz w:val="20"/>
                          <w:szCs w:val="20"/>
                        </w:rPr>
                        <m:t>j</m:t>
                      </m:r>
                    </m:sub>
                  </m:sSub>
                  <m:r>
                    <w:rPr>
                      <w:rFonts w:ascii="Cambria Math" w:hAnsi="Cambria Math" w:cs="Arial"/>
                      <w:color w:val="000000"/>
                      <w:sz w:val="20"/>
                      <w:szCs w:val="20"/>
                    </w:rPr>
                    <m:t>)</m:t>
                  </m:r>
                </m:e>
              </m:d>
              <m:r>
                <w:rPr>
                  <w:rFonts w:ascii="Cambria Math" w:hAnsi="Cambria Math" w:cs="Arial"/>
                  <w:color w:val="000000"/>
                  <w:sz w:val="20"/>
                  <w:szCs w:val="20"/>
                </w:rPr>
                <m:t>= t</m:t>
              </m:r>
            </m:sub>
            <m:sup/>
            <m:e>
              <m:r>
                <w:rPr>
                  <w:rFonts w:ascii="Cambria Math" w:hAnsi="Cambria Math" w:cs="Arial"/>
                  <w:sz w:val="20"/>
                  <w:szCs w:val="20"/>
                </w:rPr>
                <m:t>VP</m:t>
              </m:r>
              <m:sSub>
                <m:sSubPr>
                  <m:ctrlPr>
                    <w:rPr>
                      <w:rFonts w:ascii="Cambria Math" w:hAnsi="Cambria Math" w:cs="Arial"/>
                      <w:i/>
                      <w:iCs/>
                      <w:color w:val="000000"/>
                      <w:sz w:val="20"/>
                      <w:szCs w:val="20"/>
                    </w:rPr>
                  </m:ctrlPr>
                </m:sSubPr>
                <m:e>
                  <m:r>
                    <w:rPr>
                      <w:rFonts w:ascii="Cambria Math" w:hAnsi="Cambria Math" w:cs="Arial"/>
                      <w:color w:val="000000"/>
                      <w:sz w:val="20"/>
                      <w:szCs w:val="20"/>
                    </w:rPr>
                    <m:t>FA</m:t>
                  </m:r>
                </m:e>
                <m:sub>
                  <m:r>
                    <w:rPr>
                      <w:rFonts w:ascii="Cambria Math" w:hAnsi="Cambria Math" w:cs="Arial"/>
                      <w:color w:val="000000"/>
                      <w:sz w:val="20"/>
                      <w:szCs w:val="20"/>
                    </w:rPr>
                    <m:t>j</m:t>
                  </m:r>
                </m:sub>
              </m:sSub>
            </m:e>
          </m:nary>
        </m:oMath>
      </m:oMathPara>
    </w:p>
    <w:p w14:paraId="2A7042EE" w14:textId="77777777" w:rsidR="009476C5" w:rsidRPr="00D9196E" w:rsidRDefault="00000000" w:rsidP="009476C5">
      <w:pPr>
        <w:jc w:val="both"/>
        <w:rPr>
          <w:rFonts w:ascii="Verdana" w:eastAsiaTheme="minorEastAsia" w:hAnsi="Verdana" w:cs="Arial"/>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IA</m:t>
              </m:r>
            </m:e>
            <m:sub>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i/>
                  <w:sz w:val="20"/>
                  <w:szCs w:val="20"/>
                  <w:lang w:val="es-ES_tradnl"/>
                </w:rPr>
              </m:ctrlPr>
            </m:sSubPr>
            <m:e>
              <m:r>
                <w:rPr>
                  <w:rFonts w:ascii="Cambria Math" w:hAnsi="Cambria Math" w:cs="Arial"/>
                  <w:sz w:val="20"/>
                  <w:szCs w:val="20"/>
                  <w:lang w:val="es-ES_tradnl"/>
                </w:rPr>
                <m:t>SVPFP</m:t>
              </m:r>
            </m:e>
            <m:sub>
              <m:r>
                <w:rPr>
                  <w:rFonts w:ascii="Cambria Math" w:hAnsi="Cambria Math" w:cs="Arial"/>
                  <w:sz w:val="20"/>
                  <w:szCs w:val="20"/>
                  <w:lang w:val="es-ES_tradnl"/>
                </w:rPr>
                <m:t>t</m:t>
              </m:r>
            </m:sub>
          </m:sSub>
          <m:r>
            <w:rPr>
              <w:rFonts w:ascii="Cambria Math" w:hAnsi="Cambria Math" w:cs="Arial"/>
              <w:sz w:val="20"/>
              <w:szCs w:val="20"/>
            </w:rPr>
            <m:t>-</m:t>
          </m:r>
          <m:sSub>
            <m:sSubPr>
              <m:ctrlPr>
                <w:rPr>
                  <w:rFonts w:ascii="Cambria Math" w:hAnsi="Cambria Math" w:cs="Arial"/>
                  <w:i/>
                  <w:sz w:val="20"/>
                  <w:szCs w:val="20"/>
                  <w:lang w:val="es-ES_tradnl"/>
                </w:rPr>
              </m:ctrlPr>
            </m:sSubPr>
            <m:e>
              <m:r>
                <w:rPr>
                  <w:rFonts w:ascii="Cambria Math" w:hAnsi="Cambria Math" w:cs="Arial"/>
                  <w:sz w:val="20"/>
                  <w:szCs w:val="20"/>
                  <w:lang w:val="es-ES_tradnl"/>
                </w:rPr>
                <m:t>SVPFA</m:t>
              </m:r>
            </m:e>
            <m:sub>
              <m:r>
                <w:rPr>
                  <w:rFonts w:ascii="Cambria Math" w:hAnsi="Cambria Math" w:cs="Arial"/>
                  <w:sz w:val="20"/>
                  <w:szCs w:val="20"/>
                  <w:lang w:val="es-ES_tradnl"/>
                </w:rPr>
                <m:t>t</m:t>
              </m:r>
            </m:sub>
          </m:sSub>
        </m:oMath>
      </m:oMathPara>
    </w:p>
    <w:p w14:paraId="2FC4722A" w14:textId="77777777" w:rsidR="009476C5" w:rsidRPr="00D9196E" w:rsidRDefault="009476C5" w:rsidP="009476C5">
      <w:pPr>
        <w:ind w:left="567"/>
        <w:jc w:val="both"/>
        <w:rPr>
          <w:rFonts w:ascii="Verdana" w:eastAsiaTheme="minorEastAsia" w:hAnsi="Verdana" w:cs="Arial"/>
          <w:iCs/>
          <w:sz w:val="20"/>
          <w:szCs w:val="20"/>
        </w:rPr>
      </w:pPr>
      <w:r w:rsidRPr="00D9196E">
        <w:rPr>
          <w:rFonts w:ascii="Verdana" w:eastAsiaTheme="minorEastAsia" w:hAnsi="Verdana" w:cs="Arial"/>
          <w:iCs/>
          <w:sz w:val="20"/>
          <w:szCs w:val="20"/>
        </w:rPr>
        <w:t>Donde:</w:t>
      </w:r>
    </w:p>
    <w:p w14:paraId="5C3E8E0B" w14:textId="77777777" w:rsidR="009476C5" w:rsidRPr="00D9196E" w:rsidRDefault="009476C5" w:rsidP="009476C5">
      <w:pPr>
        <w:ind w:left="567"/>
        <w:jc w:val="both"/>
        <w:rPr>
          <w:rFonts w:ascii="Verdana" w:eastAsiaTheme="minorEastAsia" w:hAnsi="Verdana" w:cs="Arial"/>
          <w:color w:val="000000"/>
          <w:sz w:val="20"/>
          <w:szCs w:val="20"/>
        </w:rPr>
      </w:pPr>
      <m:oMath>
        <m:r>
          <w:rPr>
            <w:rFonts w:ascii="Cambria Math" w:hAnsi="Cambria Math" w:cs="Arial"/>
            <w:color w:val="000000"/>
            <w:sz w:val="20"/>
            <w:szCs w:val="20"/>
          </w:rPr>
          <m:t>t</m:t>
        </m:r>
      </m:oMath>
      <w:r w:rsidRPr="00D9196E">
        <w:rPr>
          <w:rFonts w:ascii="Verdana" w:eastAsiaTheme="minorEastAsia" w:hAnsi="Verdana" w:cs="Arial"/>
          <w:color w:val="000000"/>
          <w:sz w:val="20"/>
          <w:szCs w:val="20"/>
        </w:rPr>
        <w:t>: Índice del tramo.</w:t>
      </w:r>
      <m:oMath>
        <m:r>
          <w:rPr>
            <w:rFonts w:ascii="Cambria Math" w:hAnsi="Cambria Math" w:cs="Arial"/>
            <w:color w:val="000000"/>
            <w:sz w:val="20"/>
            <w:szCs w:val="20"/>
          </w:rPr>
          <m:t xml:space="preserve"> t∈{1,2,3…120}</m:t>
        </m:r>
      </m:oMath>
      <w:r w:rsidRPr="00D9196E">
        <w:rPr>
          <w:rFonts w:ascii="Verdana" w:eastAsiaTheme="minorEastAsia" w:hAnsi="Verdana" w:cs="Arial"/>
          <w:color w:val="000000"/>
          <w:sz w:val="20"/>
          <w:szCs w:val="20"/>
        </w:rPr>
        <w:t>.</w:t>
      </w:r>
    </w:p>
    <w:p w14:paraId="24E81CC9" w14:textId="77777777" w:rsidR="009476C5" w:rsidRPr="00D9196E" w:rsidRDefault="00000000" w:rsidP="009476C5">
      <w:pPr>
        <w:ind w:left="567"/>
        <w:jc w:val="both"/>
        <w:rPr>
          <w:rFonts w:ascii="Verdana" w:eastAsiaTheme="minorEastAsia" w:hAnsi="Verdana" w:cs="Arial"/>
          <w:iCs/>
          <w:sz w:val="20"/>
          <w:szCs w:val="20"/>
          <w:lang w:val="es-ES_tradnl"/>
        </w:rPr>
      </w:pPr>
      <m:oMath>
        <m:nary>
          <m:naryPr>
            <m:chr m:val="∑"/>
            <m:limLoc m:val="undOvr"/>
            <m:supHide m:val="1"/>
            <m:ctrlPr>
              <w:rPr>
                <w:rFonts w:ascii="Cambria Math" w:hAnsi="Cambria Math" w:cs="Arial"/>
                <w:i/>
                <w:sz w:val="20"/>
                <w:szCs w:val="20"/>
              </w:rPr>
            </m:ctrlPr>
          </m:naryPr>
          <m:sub>
            <m:d>
              <m:dPr>
                <m:begChr m:val="["/>
                <m:endChr m:val="]"/>
                <m:ctrlPr>
                  <w:rPr>
                    <w:rFonts w:ascii="Cambria Math"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FP</m:t>
                    </m:r>
                  </m:e>
                  <m:sub>
                    <m:r>
                      <w:rPr>
                        <w:rFonts w:ascii="Cambria Math" w:hAnsi="Cambria Math" w:cs="Arial"/>
                        <w:color w:val="000000"/>
                        <w:sz w:val="20"/>
                        <w:szCs w:val="20"/>
                      </w:rPr>
                      <m:t>j</m:t>
                    </m:r>
                  </m:sub>
                </m:sSub>
                <m:r>
                  <w:rPr>
                    <w:rFonts w:ascii="Cambria Math" w:hAnsi="Cambria Math" w:cs="Arial"/>
                    <w:color w:val="000000"/>
                    <w:sz w:val="20"/>
                    <w:szCs w:val="20"/>
                  </w:rPr>
                  <m:t>)</m:t>
                </m:r>
              </m:e>
            </m:d>
            <m:r>
              <w:rPr>
                <w:rFonts w:ascii="Cambria Math" w:hAnsi="Cambria Math" w:cs="Arial"/>
                <w:color w:val="000000"/>
                <w:sz w:val="20"/>
                <w:szCs w:val="20"/>
              </w:rPr>
              <m:t>= t</m:t>
            </m:r>
          </m:sub>
          <m:sup/>
          <m:e>
            <m:r>
              <w:rPr>
                <w:rFonts w:ascii="Cambria Math" w:hAnsi="Cambria Math" w:cs="Arial"/>
                <w:sz w:val="20"/>
                <w:szCs w:val="20"/>
              </w:rPr>
              <m:t>VP</m:t>
            </m:r>
            <m:sSub>
              <m:sSubPr>
                <m:ctrlPr>
                  <w:rPr>
                    <w:rFonts w:ascii="Cambria Math" w:hAnsi="Cambria Math" w:cs="Arial"/>
                    <w:i/>
                    <w:iCs/>
                    <w:color w:val="000000"/>
                    <w:sz w:val="20"/>
                    <w:szCs w:val="20"/>
                  </w:rPr>
                </m:ctrlPr>
              </m:sSubPr>
              <m:e>
                <m:r>
                  <w:rPr>
                    <w:rFonts w:ascii="Cambria Math" w:hAnsi="Cambria Math" w:cs="Arial"/>
                    <w:color w:val="000000"/>
                    <w:sz w:val="20"/>
                    <w:szCs w:val="20"/>
                  </w:rPr>
                  <m:t>FP</m:t>
                </m:r>
              </m:e>
              <m:sub>
                <m:r>
                  <w:rPr>
                    <w:rFonts w:ascii="Cambria Math" w:hAnsi="Cambria Math" w:cs="Arial"/>
                    <w:color w:val="000000"/>
                    <w:sz w:val="20"/>
                    <w:szCs w:val="20"/>
                  </w:rPr>
                  <m:t>j</m:t>
                </m:r>
              </m:sub>
            </m:sSub>
          </m:e>
        </m:nary>
      </m:oMath>
      <w:r w:rsidR="009476C5" w:rsidRPr="00D9196E">
        <w:rPr>
          <w:rFonts w:ascii="Verdana" w:eastAsiaTheme="minorEastAsia" w:hAnsi="Verdana" w:cs="Arial"/>
          <w:iCs/>
          <w:sz w:val="20"/>
          <w:szCs w:val="20"/>
          <w:lang w:val="es-ES_tradnl"/>
        </w:rPr>
        <w:t xml:space="preserve">: Sumatoria de todos los flujos de pasivos, en valor presente, que vencen dentro del tramo </w:t>
      </w:r>
      <m:oMath>
        <m:r>
          <w:rPr>
            <w:rFonts w:ascii="Cambria Math" w:hAnsi="Cambria Math" w:cs="Arial"/>
            <w:color w:val="000000"/>
            <w:sz w:val="20"/>
            <w:szCs w:val="20"/>
          </w:rPr>
          <m:t>t</m:t>
        </m:r>
      </m:oMath>
      <w:r w:rsidR="009476C5" w:rsidRPr="00D9196E">
        <w:rPr>
          <w:rFonts w:ascii="Verdana" w:eastAsiaTheme="minorEastAsia" w:hAnsi="Verdana" w:cs="Arial"/>
          <w:iCs/>
          <w:sz w:val="20"/>
          <w:szCs w:val="20"/>
          <w:lang w:val="es-ES_tradnl"/>
        </w:rPr>
        <w:t xml:space="preserve">. </w:t>
      </w:r>
    </w:p>
    <w:p w14:paraId="138154BF" w14:textId="77777777" w:rsidR="009476C5" w:rsidRPr="00D9196E" w:rsidRDefault="00000000" w:rsidP="009476C5">
      <w:pPr>
        <w:ind w:left="567"/>
        <w:jc w:val="both"/>
        <w:rPr>
          <w:rFonts w:ascii="Verdana" w:eastAsiaTheme="minorEastAsia" w:hAnsi="Verdana" w:cs="Arial"/>
          <w:iCs/>
          <w:sz w:val="20"/>
          <w:szCs w:val="20"/>
          <w:lang w:val="es-ES_tradnl"/>
        </w:rPr>
      </w:pPr>
      <m:oMath>
        <m:nary>
          <m:naryPr>
            <m:chr m:val="∑"/>
            <m:limLoc m:val="undOvr"/>
            <m:supHide m:val="1"/>
            <m:ctrlPr>
              <w:rPr>
                <w:rFonts w:ascii="Cambria Math" w:hAnsi="Cambria Math" w:cs="Arial"/>
                <w:i/>
                <w:sz w:val="20"/>
                <w:szCs w:val="20"/>
              </w:rPr>
            </m:ctrlPr>
          </m:naryPr>
          <m:sub>
            <m:d>
              <m:dPr>
                <m:begChr m:val="["/>
                <m:endChr m:val="]"/>
                <m:ctrlPr>
                  <w:rPr>
                    <w:rFonts w:ascii="Cambria Math" w:hAnsi="Cambria Math" w:cs="Arial"/>
                    <w:i/>
                    <w:color w:val="000000"/>
                    <w:sz w:val="20"/>
                    <w:szCs w:val="20"/>
                  </w:rPr>
                </m:ctrlPr>
              </m:dPr>
              <m:e>
                <m:r>
                  <w:rPr>
                    <w:rFonts w:ascii="Cambria Math" w:hAnsi="Cambria Math" w:cs="Arial"/>
                    <w:color w:val="000000"/>
                    <w:sz w:val="20"/>
                    <w:szCs w:val="20"/>
                  </w:rPr>
                  <m:t>k(</m:t>
                </m:r>
                <m:sSub>
                  <m:sSubPr>
                    <m:ctrlPr>
                      <w:rPr>
                        <w:rFonts w:ascii="Cambria Math" w:hAnsi="Cambria Math" w:cs="Arial"/>
                        <w:i/>
                        <w:color w:val="000000"/>
                        <w:sz w:val="20"/>
                        <w:szCs w:val="20"/>
                      </w:rPr>
                    </m:ctrlPr>
                  </m:sSubPr>
                  <m:e>
                    <m:r>
                      <w:rPr>
                        <w:rFonts w:ascii="Cambria Math" w:hAnsi="Cambria Math" w:cs="Arial"/>
                        <w:color w:val="000000"/>
                        <w:sz w:val="20"/>
                        <w:szCs w:val="20"/>
                      </w:rPr>
                      <m:t>FA</m:t>
                    </m:r>
                  </m:e>
                  <m:sub>
                    <m:r>
                      <w:rPr>
                        <w:rFonts w:ascii="Cambria Math" w:hAnsi="Cambria Math" w:cs="Arial"/>
                        <w:color w:val="000000"/>
                        <w:sz w:val="20"/>
                        <w:szCs w:val="20"/>
                      </w:rPr>
                      <m:t>j</m:t>
                    </m:r>
                  </m:sub>
                </m:sSub>
                <m:r>
                  <w:rPr>
                    <w:rFonts w:ascii="Cambria Math" w:hAnsi="Cambria Math" w:cs="Arial"/>
                    <w:color w:val="000000"/>
                    <w:sz w:val="20"/>
                    <w:szCs w:val="20"/>
                  </w:rPr>
                  <m:t>)</m:t>
                </m:r>
              </m:e>
            </m:d>
            <m:r>
              <w:rPr>
                <w:rFonts w:ascii="Cambria Math" w:hAnsi="Cambria Math" w:cs="Arial"/>
                <w:color w:val="000000"/>
                <w:sz w:val="20"/>
                <w:szCs w:val="20"/>
              </w:rPr>
              <m:t>= t</m:t>
            </m:r>
          </m:sub>
          <m:sup/>
          <m:e>
            <m:sSub>
              <m:sSubPr>
                <m:ctrlPr>
                  <w:rPr>
                    <w:rFonts w:ascii="Cambria Math" w:hAnsi="Cambria Math" w:cs="Arial"/>
                    <w:i/>
                    <w:iCs/>
                    <w:color w:val="000000"/>
                    <w:sz w:val="20"/>
                    <w:szCs w:val="20"/>
                  </w:rPr>
                </m:ctrlPr>
              </m:sSubPr>
              <m:e>
                <m:r>
                  <w:rPr>
                    <w:rFonts w:ascii="Cambria Math" w:hAnsi="Cambria Math" w:cs="Arial"/>
                    <w:color w:val="000000"/>
                    <w:sz w:val="20"/>
                    <w:szCs w:val="20"/>
                  </w:rPr>
                  <m:t>VPFA</m:t>
                </m:r>
              </m:e>
              <m:sub>
                <m:r>
                  <w:rPr>
                    <w:rFonts w:ascii="Cambria Math" w:hAnsi="Cambria Math" w:cs="Arial"/>
                    <w:color w:val="000000"/>
                    <w:sz w:val="20"/>
                    <w:szCs w:val="20"/>
                  </w:rPr>
                  <m:t>j</m:t>
                </m:r>
              </m:sub>
            </m:sSub>
          </m:e>
        </m:nary>
      </m:oMath>
      <w:r w:rsidR="009476C5" w:rsidRPr="00D9196E">
        <w:rPr>
          <w:rFonts w:ascii="Verdana" w:eastAsiaTheme="minorEastAsia" w:hAnsi="Verdana" w:cs="Arial"/>
          <w:sz w:val="20"/>
          <w:szCs w:val="20"/>
        </w:rPr>
        <w:t>:</w:t>
      </w:r>
      <w:r w:rsidR="009476C5" w:rsidRPr="00D9196E">
        <w:rPr>
          <w:rFonts w:ascii="Verdana" w:eastAsiaTheme="minorEastAsia" w:hAnsi="Verdana" w:cs="Arial"/>
          <w:iCs/>
          <w:sz w:val="20"/>
          <w:szCs w:val="20"/>
          <w:lang w:val="es-ES_tradnl"/>
        </w:rPr>
        <w:t xml:space="preserve"> Sumatoria de todos los flujos de activos, en valor presente, que vencen dentro del tramo </w:t>
      </w:r>
      <m:oMath>
        <m:r>
          <w:rPr>
            <w:rFonts w:ascii="Cambria Math" w:hAnsi="Cambria Math" w:cs="Arial"/>
            <w:color w:val="000000"/>
            <w:sz w:val="20"/>
            <w:szCs w:val="20"/>
          </w:rPr>
          <m:t>t</m:t>
        </m:r>
      </m:oMath>
      <w:r w:rsidR="009476C5" w:rsidRPr="00D9196E">
        <w:rPr>
          <w:rFonts w:ascii="Verdana" w:eastAsiaTheme="minorEastAsia" w:hAnsi="Verdana" w:cs="Arial"/>
          <w:iCs/>
          <w:sz w:val="20"/>
          <w:szCs w:val="20"/>
          <w:lang w:val="es-ES_tradnl"/>
        </w:rPr>
        <w:t>.</w:t>
      </w:r>
    </w:p>
    <w:p w14:paraId="142D9F7A" w14:textId="77777777" w:rsidR="009476C5" w:rsidRPr="00D9196E" w:rsidRDefault="00000000" w:rsidP="009476C5">
      <w:pPr>
        <w:ind w:left="567"/>
        <w:jc w:val="both"/>
        <w:rPr>
          <w:rFonts w:ascii="Verdana" w:eastAsiaTheme="minorEastAsia" w:hAnsi="Verdana" w:cs="Arial"/>
          <w:iCs/>
          <w:sz w:val="20"/>
          <w:szCs w:val="20"/>
        </w:rPr>
      </w:pPr>
      <m:oMath>
        <m:sSub>
          <m:sSubPr>
            <m:ctrlPr>
              <w:rPr>
                <w:rFonts w:ascii="Cambria Math" w:hAnsi="Cambria Math" w:cs="Arial"/>
                <w:i/>
                <w:iCs/>
                <w:sz w:val="20"/>
                <w:szCs w:val="20"/>
              </w:rPr>
            </m:ctrlPr>
          </m:sSubPr>
          <m:e>
            <m:r>
              <w:rPr>
                <w:rFonts w:ascii="Cambria Math" w:hAnsi="Cambria Math" w:cs="Arial"/>
                <w:sz w:val="20"/>
                <w:szCs w:val="20"/>
              </w:rPr>
              <m:t>IA</m:t>
            </m:r>
          </m:e>
          <m:sub>
            <m:r>
              <w:rPr>
                <w:rFonts w:ascii="Cambria Math" w:hAnsi="Cambria Math" w:cs="Arial"/>
                <w:sz w:val="20"/>
                <w:szCs w:val="20"/>
                <w:lang w:val="es-ES_tradnl"/>
              </w:rPr>
              <m:t>t</m:t>
            </m:r>
          </m:sub>
        </m:sSub>
      </m:oMath>
      <w:r w:rsidR="009476C5" w:rsidRPr="00D9196E">
        <w:rPr>
          <w:rFonts w:ascii="Verdana" w:eastAsiaTheme="minorEastAsia" w:hAnsi="Verdana" w:cs="Arial"/>
          <w:iCs/>
          <w:sz w:val="20"/>
          <w:szCs w:val="20"/>
        </w:rPr>
        <w:t>: Insuficiencia de activos en valor presente.</w:t>
      </w:r>
    </w:p>
    <w:p w14:paraId="7650DD73" w14:textId="77777777" w:rsidR="009476C5" w:rsidRPr="00D9196E" w:rsidRDefault="009476C5" w:rsidP="009476C5">
      <w:pPr>
        <w:pStyle w:val="Prrafodelista"/>
        <w:numPr>
          <w:ilvl w:val="0"/>
          <w:numId w:val="8"/>
        </w:numPr>
        <w:spacing w:after="0" w:line="240" w:lineRule="auto"/>
        <w:ind w:left="567" w:hanging="567"/>
        <w:jc w:val="both"/>
        <w:rPr>
          <w:rFonts w:ascii="Verdana" w:eastAsiaTheme="minorEastAsia" w:hAnsi="Verdana" w:cs="Arial"/>
          <w:sz w:val="20"/>
          <w:szCs w:val="20"/>
        </w:rPr>
      </w:pPr>
      <w:r w:rsidRPr="00D9196E">
        <w:rPr>
          <w:rFonts w:ascii="Verdana" w:eastAsiaTheme="minorEastAsia" w:hAnsi="Verdana" w:cs="Arial"/>
          <w:sz w:val="20"/>
          <w:szCs w:val="20"/>
        </w:rPr>
        <w:t>De</w:t>
      </w:r>
      <w:r w:rsidRPr="00D9196E">
        <w:rPr>
          <w:rFonts w:ascii="Verdana" w:hAnsi="Verdana" w:cs="Arial"/>
          <w:sz w:val="20"/>
          <w:szCs w:val="20"/>
          <w:lang w:val="es-ES_tradnl"/>
        </w:rPr>
        <w:t>terminar la RIA como el mayor valor entre 0 y el valor presente neto de las insuficiencias de activos:</w:t>
      </w:r>
    </w:p>
    <w:p w14:paraId="7F565890" w14:textId="77777777" w:rsidR="00C537A5" w:rsidRDefault="009476C5" w:rsidP="00C537A5">
      <w:pPr>
        <w:jc w:val="both"/>
        <w:rPr>
          <w:rFonts w:ascii="Verdana" w:eastAsiaTheme="minorEastAsia" w:hAnsi="Verdana" w:cs="Arial"/>
          <w:sz w:val="20"/>
          <w:szCs w:val="20"/>
        </w:rPr>
      </w:pPr>
      <m:oMathPara>
        <m:oMath>
          <m:r>
            <w:rPr>
              <w:rFonts w:ascii="Cambria Math" w:hAnsi="Cambria Math" w:cs="Arial"/>
              <w:sz w:val="20"/>
              <w:szCs w:val="20"/>
            </w:rPr>
            <m:t>RIA=MAX</m:t>
          </m:r>
          <m:d>
            <m:dPr>
              <m:begChr m:val="{"/>
              <m:endChr m:val="}"/>
              <m:ctrlPr>
                <w:rPr>
                  <w:rFonts w:ascii="Cambria Math" w:hAnsi="Cambria Math" w:cs="Arial"/>
                  <w:i/>
                  <w:sz w:val="20"/>
                  <w:szCs w:val="20"/>
                </w:rPr>
              </m:ctrlPr>
            </m:dPr>
            <m:e>
              <m:r>
                <w:rPr>
                  <w:rFonts w:ascii="Cambria Math" w:hAnsi="Cambria Math" w:cs="Arial"/>
                  <w:sz w:val="20"/>
                  <w:szCs w:val="20"/>
                </w:rPr>
                <m:t>0,</m:t>
              </m:r>
              <m:nary>
                <m:naryPr>
                  <m:chr m:val="∑"/>
                  <m:limLoc m:val="undOvr"/>
                  <m:supHide m:val="1"/>
                  <m:ctrlPr>
                    <w:rPr>
                      <w:rFonts w:ascii="Cambria Math" w:hAnsi="Cambria Math" w:cs="Arial"/>
                      <w:i/>
                      <w:sz w:val="20"/>
                      <w:szCs w:val="20"/>
                    </w:rPr>
                  </m:ctrlPr>
                </m:naryPr>
                <m:sub>
                  <m:r>
                    <w:rPr>
                      <w:rFonts w:ascii="Cambria Math" w:hAnsi="Cambria Math" w:cs="Arial"/>
                      <w:sz w:val="20"/>
                      <w:szCs w:val="20"/>
                    </w:rPr>
                    <m:t>t</m:t>
                  </m:r>
                </m:sub>
                <m:sup/>
                <m:e>
                  <m:sSub>
                    <m:sSubPr>
                      <m:ctrlPr>
                        <w:rPr>
                          <w:rFonts w:ascii="Cambria Math" w:hAnsi="Cambria Math" w:cs="Arial"/>
                          <w:i/>
                          <w:sz w:val="20"/>
                          <w:szCs w:val="20"/>
                        </w:rPr>
                      </m:ctrlPr>
                    </m:sSubPr>
                    <m:e>
                      <m:r>
                        <w:rPr>
                          <w:rFonts w:ascii="Cambria Math" w:hAnsi="Cambria Math" w:cs="Arial"/>
                          <w:sz w:val="20"/>
                          <w:szCs w:val="20"/>
                        </w:rPr>
                        <m:t>IA</m:t>
                      </m:r>
                    </m:e>
                    <m:sub>
                      <m:r>
                        <w:rPr>
                          <w:rFonts w:ascii="Cambria Math" w:hAnsi="Cambria Math" w:cs="Arial"/>
                          <w:sz w:val="20"/>
                          <w:szCs w:val="20"/>
                        </w:rPr>
                        <m:t>t</m:t>
                      </m:r>
                    </m:sub>
                  </m:sSub>
                </m:e>
              </m:nary>
            </m:e>
          </m:d>
        </m:oMath>
      </m:oMathPara>
    </w:p>
    <w:p w14:paraId="3BDF71FB" w14:textId="36D1B062" w:rsidR="007F078E" w:rsidRPr="00D9196E" w:rsidRDefault="00D9196E" w:rsidP="00CA3596">
      <w:pPr>
        <w:jc w:val="both"/>
        <w:rPr>
          <w:rFonts w:ascii="Verdana" w:eastAsiaTheme="minorEastAsia" w:hAnsi="Verdana" w:cs="Arial"/>
          <w:sz w:val="20"/>
          <w:szCs w:val="20"/>
        </w:rPr>
      </w:pPr>
      <w:r w:rsidRPr="00C537A5">
        <w:rPr>
          <w:rFonts w:ascii="Verdana" w:eastAsiaTheme="minorEastAsia" w:hAnsi="Verdana" w:cs="Arial"/>
          <w:b/>
          <w:sz w:val="20"/>
          <w:szCs w:val="20"/>
        </w:rPr>
        <w:t>CONSTITUCIÓN Y LIBERACIÓN DE LA RIA</w:t>
      </w:r>
    </w:p>
    <w:p w14:paraId="12EE044F" w14:textId="77777777" w:rsidR="00C537A5" w:rsidRDefault="00D9196E" w:rsidP="00F81212">
      <w:pPr>
        <w:spacing w:after="0" w:line="240" w:lineRule="auto"/>
        <w:jc w:val="both"/>
        <w:rPr>
          <w:rFonts w:ascii="Verdana" w:hAnsi="Verdana" w:cs="Arial"/>
          <w:spacing w:val="-3"/>
          <w:sz w:val="20"/>
          <w:szCs w:val="20"/>
        </w:rPr>
      </w:pPr>
      <w:r>
        <w:rPr>
          <w:rFonts w:ascii="Verdana" w:hAnsi="Verdana" w:cs="Arial"/>
          <w:spacing w:val="-3"/>
          <w:sz w:val="20"/>
          <w:szCs w:val="20"/>
        </w:rPr>
        <w:t xml:space="preserve">2.1.A1.25. </w:t>
      </w:r>
    </w:p>
    <w:p w14:paraId="3BDF71FC" w14:textId="60936DF4" w:rsidR="00CB7C0C" w:rsidRPr="00D9196E" w:rsidRDefault="00766626" w:rsidP="00F81212">
      <w:pPr>
        <w:spacing w:after="0" w:line="240" w:lineRule="auto"/>
        <w:jc w:val="both"/>
        <w:rPr>
          <w:rFonts w:ascii="Verdana" w:eastAsiaTheme="minorEastAsia" w:hAnsi="Verdana" w:cs="Arial"/>
          <w:sz w:val="20"/>
          <w:szCs w:val="20"/>
        </w:rPr>
      </w:pPr>
      <w:r w:rsidRPr="00D9196E">
        <w:rPr>
          <w:rFonts w:ascii="Verdana" w:eastAsiaTheme="minorEastAsia" w:hAnsi="Verdana" w:cs="Arial"/>
          <w:sz w:val="20"/>
          <w:szCs w:val="20"/>
        </w:rPr>
        <w:t xml:space="preserve">En caso de que exista insuficiencia de activos en algún ramo, las entidades aseguradoras deben constituir la RIA </w:t>
      </w:r>
      <w:r w:rsidR="007F078E" w:rsidRPr="00D9196E">
        <w:rPr>
          <w:rFonts w:ascii="Verdana" w:eastAsiaTheme="minorEastAsia" w:hAnsi="Verdana" w:cs="Arial"/>
          <w:sz w:val="20"/>
          <w:szCs w:val="20"/>
        </w:rPr>
        <w:t>dentro del trimestre siguiente al corte de la información</w:t>
      </w:r>
      <w:r w:rsidR="00024446" w:rsidRPr="00D9196E">
        <w:rPr>
          <w:rFonts w:ascii="Verdana" w:eastAsiaTheme="minorEastAsia" w:hAnsi="Verdana" w:cs="Arial"/>
          <w:sz w:val="20"/>
          <w:szCs w:val="20"/>
        </w:rPr>
        <w:t xml:space="preserve"> de los activos</w:t>
      </w:r>
      <w:r w:rsidR="007F078E" w:rsidRPr="00D9196E">
        <w:rPr>
          <w:rFonts w:ascii="Verdana" w:eastAsiaTheme="minorEastAsia" w:hAnsi="Verdana" w:cs="Arial"/>
          <w:sz w:val="20"/>
          <w:szCs w:val="20"/>
        </w:rPr>
        <w:t>.</w:t>
      </w:r>
      <w:r w:rsidR="00E17E1A" w:rsidRPr="00D9196E">
        <w:rPr>
          <w:rFonts w:ascii="Verdana" w:eastAsiaTheme="minorEastAsia" w:hAnsi="Verdana" w:cs="Arial"/>
          <w:sz w:val="20"/>
          <w:szCs w:val="20"/>
        </w:rPr>
        <w:t xml:space="preserve"> En el evento en que se reduzcan las insuficiencias con respecto al trimestre anterior, las entidades aseguradoras pueden liberar </w:t>
      </w:r>
      <w:r w:rsidR="00E90268" w:rsidRPr="00D9196E">
        <w:rPr>
          <w:rFonts w:ascii="Verdana" w:eastAsiaTheme="minorEastAsia" w:hAnsi="Verdana" w:cs="Arial"/>
          <w:sz w:val="20"/>
          <w:szCs w:val="20"/>
        </w:rPr>
        <w:t xml:space="preserve">el exceso en </w:t>
      </w:r>
      <w:r w:rsidR="00E17E1A" w:rsidRPr="00D9196E">
        <w:rPr>
          <w:rFonts w:ascii="Verdana" w:eastAsiaTheme="minorEastAsia" w:hAnsi="Verdana" w:cs="Arial"/>
          <w:sz w:val="20"/>
          <w:szCs w:val="20"/>
        </w:rPr>
        <w:t>la reserva.</w:t>
      </w:r>
    </w:p>
    <w:sectPr w:rsidR="00CB7C0C" w:rsidRPr="00D9196E" w:rsidSect="00782A3E">
      <w:headerReference w:type="default" r:id="rId11"/>
      <w:footerReference w:type="default" r:id="rId12"/>
      <w:pgSz w:w="12242" w:h="18722" w:code="12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D870D" w14:textId="77777777" w:rsidR="00A05F95" w:rsidRDefault="00A05F95" w:rsidP="00CE4023">
      <w:pPr>
        <w:spacing w:after="0" w:line="240" w:lineRule="auto"/>
      </w:pPr>
      <w:r>
        <w:separator/>
      </w:r>
    </w:p>
  </w:endnote>
  <w:endnote w:type="continuationSeparator" w:id="0">
    <w:p w14:paraId="310ABD1B" w14:textId="77777777" w:rsidR="00A05F95" w:rsidRDefault="00A05F95" w:rsidP="00CE4023">
      <w:pPr>
        <w:spacing w:after="0" w:line="240" w:lineRule="auto"/>
      </w:pPr>
      <w:r>
        <w:continuationSeparator/>
      </w:r>
    </w:p>
  </w:endnote>
  <w:endnote w:type="continuationNotice" w:id="1">
    <w:p w14:paraId="62E562FF" w14:textId="77777777" w:rsidR="00A05F95" w:rsidRDefault="00A05F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7AFF" w14:textId="3A744F87" w:rsidR="00EF2E73" w:rsidRPr="00CE4023" w:rsidRDefault="00EF2E73" w:rsidP="00CE4023">
    <w:pPr>
      <w:pStyle w:val="Textosinformato"/>
      <w:tabs>
        <w:tab w:val="left" w:pos="0"/>
      </w:tabs>
      <w:ind w:right="51"/>
      <w:jc w:val="both"/>
      <w:rPr>
        <w:rFonts w:ascii="Arial" w:hAnsi="Arial" w:cs="Arial"/>
        <w:b/>
        <w:bCs/>
        <w:sz w:val="18"/>
        <w:szCs w:val="18"/>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CBF2E" w14:textId="77777777" w:rsidR="00A05F95" w:rsidRDefault="00A05F95" w:rsidP="00CE4023">
      <w:pPr>
        <w:spacing w:after="0" w:line="240" w:lineRule="auto"/>
      </w:pPr>
      <w:r>
        <w:separator/>
      </w:r>
    </w:p>
  </w:footnote>
  <w:footnote w:type="continuationSeparator" w:id="0">
    <w:p w14:paraId="27E327D2" w14:textId="77777777" w:rsidR="00A05F95" w:rsidRDefault="00A05F95" w:rsidP="00CE4023">
      <w:pPr>
        <w:spacing w:after="0" w:line="240" w:lineRule="auto"/>
      </w:pPr>
      <w:r>
        <w:continuationSeparator/>
      </w:r>
    </w:p>
  </w:footnote>
  <w:footnote w:type="continuationNotice" w:id="1">
    <w:p w14:paraId="2BB2F5B7" w14:textId="77777777" w:rsidR="00A05F95" w:rsidRDefault="00A05F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CC75" w14:textId="77777777" w:rsidR="00EF2E73" w:rsidRPr="006C0502" w:rsidRDefault="00EF2E73" w:rsidP="00CE4023">
    <w:pPr>
      <w:pStyle w:val="Encabezado"/>
      <w:jc w:val="center"/>
      <w:rPr>
        <w:rFonts w:ascii="Arial" w:hAnsi="Arial" w:cs="Arial"/>
        <w:b/>
        <w:bCs/>
      </w:rPr>
    </w:pPr>
    <w:r w:rsidRPr="006C0502">
      <w:rPr>
        <w:rFonts w:ascii="Arial" w:hAnsi="Arial" w:cs="Arial"/>
        <w:b/>
        <w:bCs/>
      </w:rPr>
      <w:t>SUPERINTENDENCIA FINANCIERA DE COLOMBIA</w:t>
    </w:r>
  </w:p>
  <w:p w14:paraId="7E1B7EE7" w14:textId="77777777" w:rsidR="00EF2E73" w:rsidRDefault="00EF2E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31E"/>
    <w:multiLevelType w:val="hybridMultilevel"/>
    <w:tmpl w:val="8916A7E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216371"/>
    <w:multiLevelType w:val="hybridMultilevel"/>
    <w:tmpl w:val="7E982EF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012FE0"/>
    <w:multiLevelType w:val="multilevel"/>
    <w:tmpl w:val="A1CC8A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6E76C1"/>
    <w:multiLevelType w:val="multilevel"/>
    <w:tmpl w:val="4384B49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6FC4B87"/>
    <w:multiLevelType w:val="hybridMultilevel"/>
    <w:tmpl w:val="6DEA1C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31FF4E9D"/>
    <w:multiLevelType w:val="hybridMultilevel"/>
    <w:tmpl w:val="E1EE0EC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B425D3B"/>
    <w:multiLevelType w:val="multilevel"/>
    <w:tmpl w:val="074A18B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num w:numId="1" w16cid:durableId="164446124">
    <w:abstractNumId w:val="6"/>
  </w:num>
  <w:num w:numId="2" w16cid:durableId="847645445">
    <w:abstractNumId w:val="3"/>
  </w:num>
  <w:num w:numId="3" w16cid:durableId="641227528">
    <w:abstractNumId w:val="4"/>
  </w:num>
  <w:num w:numId="4" w16cid:durableId="277101209">
    <w:abstractNumId w:val="4"/>
  </w:num>
  <w:num w:numId="5" w16cid:durableId="1979069145">
    <w:abstractNumId w:val="2"/>
  </w:num>
  <w:num w:numId="6" w16cid:durableId="628364940">
    <w:abstractNumId w:val="1"/>
  </w:num>
  <w:num w:numId="7" w16cid:durableId="262541721">
    <w:abstractNumId w:val="0"/>
  </w:num>
  <w:num w:numId="8" w16cid:durableId="947809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C0C"/>
    <w:rsid w:val="000006DA"/>
    <w:rsid w:val="000019E2"/>
    <w:rsid w:val="000201E9"/>
    <w:rsid w:val="00024446"/>
    <w:rsid w:val="0004035B"/>
    <w:rsid w:val="00040CCD"/>
    <w:rsid w:val="0004480C"/>
    <w:rsid w:val="000503DA"/>
    <w:rsid w:val="00053596"/>
    <w:rsid w:val="00060B92"/>
    <w:rsid w:val="00066755"/>
    <w:rsid w:val="0006694C"/>
    <w:rsid w:val="000741DA"/>
    <w:rsid w:val="00074519"/>
    <w:rsid w:val="00084B31"/>
    <w:rsid w:val="000862FD"/>
    <w:rsid w:val="00087955"/>
    <w:rsid w:val="00090767"/>
    <w:rsid w:val="00090967"/>
    <w:rsid w:val="000959E3"/>
    <w:rsid w:val="000A3597"/>
    <w:rsid w:val="000A520A"/>
    <w:rsid w:val="000B0CAB"/>
    <w:rsid w:val="000C02AF"/>
    <w:rsid w:val="000D04C6"/>
    <w:rsid w:val="000D127F"/>
    <w:rsid w:val="000E1EB8"/>
    <w:rsid w:val="000E2319"/>
    <w:rsid w:val="00102A92"/>
    <w:rsid w:val="00103DB2"/>
    <w:rsid w:val="00103DFF"/>
    <w:rsid w:val="001040DD"/>
    <w:rsid w:val="00104F31"/>
    <w:rsid w:val="0010727B"/>
    <w:rsid w:val="00107B82"/>
    <w:rsid w:val="00114459"/>
    <w:rsid w:val="00115671"/>
    <w:rsid w:val="00133F92"/>
    <w:rsid w:val="00150D70"/>
    <w:rsid w:val="00151AB4"/>
    <w:rsid w:val="00151ABD"/>
    <w:rsid w:val="00161922"/>
    <w:rsid w:val="00162E0E"/>
    <w:rsid w:val="00163187"/>
    <w:rsid w:val="00181637"/>
    <w:rsid w:val="00190040"/>
    <w:rsid w:val="001964A4"/>
    <w:rsid w:val="00196D4A"/>
    <w:rsid w:val="001A1688"/>
    <w:rsid w:val="001A204B"/>
    <w:rsid w:val="001A5E9A"/>
    <w:rsid w:val="001A78F2"/>
    <w:rsid w:val="001C4DC4"/>
    <w:rsid w:val="001C6D5C"/>
    <w:rsid w:val="001D5254"/>
    <w:rsid w:val="001E0C9D"/>
    <w:rsid w:val="001E38D8"/>
    <w:rsid w:val="001F45AE"/>
    <w:rsid w:val="00201849"/>
    <w:rsid w:val="00205F8D"/>
    <w:rsid w:val="00206D60"/>
    <w:rsid w:val="00207867"/>
    <w:rsid w:val="0021458D"/>
    <w:rsid w:val="00220F50"/>
    <w:rsid w:val="0022290E"/>
    <w:rsid w:val="00222E6A"/>
    <w:rsid w:val="002262EA"/>
    <w:rsid w:val="00230F08"/>
    <w:rsid w:val="0023588A"/>
    <w:rsid w:val="00244351"/>
    <w:rsid w:val="00247921"/>
    <w:rsid w:val="002506A0"/>
    <w:rsid w:val="002642C1"/>
    <w:rsid w:val="00282B0F"/>
    <w:rsid w:val="00287235"/>
    <w:rsid w:val="002873AB"/>
    <w:rsid w:val="00287A74"/>
    <w:rsid w:val="0029467A"/>
    <w:rsid w:val="002A6990"/>
    <w:rsid w:val="002B556A"/>
    <w:rsid w:val="002D1364"/>
    <w:rsid w:val="002D47FF"/>
    <w:rsid w:val="002E250A"/>
    <w:rsid w:val="002F08FB"/>
    <w:rsid w:val="002F6A95"/>
    <w:rsid w:val="00314E3B"/>
    <w:rsid w:val="00315128"/>
    <w:rsid w:val="0032224E"/>
    <w:rsid w:val="00326671"/>
    <w:rsid w:val="00330E22"/>
    <w:rsid w:val="00333676"/>
    <w:rsid w:val="00343C23"/>
    <w:rsid w:val="00380DE7"/>
    <w:rsid w:val="003907AE"/>
    <w:rsid w:val="00393471"/>
    <w:rsid w:val="003C773D"/>
    <w:rsid w:val="003D01DC"/>
    <w:rsid w:val="003D37AE"/>
    <w:rsid w:val="003D405D"/>
    <w:rsid w:val="003D4DE7"/>
    <w:rsid w:val="003D6B0F"/>
    <w:rsid w:val="003E3857"/>
    <w:rsid w:val="003E4602"/>
    <w:rsid w:val="003F2560"/>
    <w:rsid w:val="00400DB6"/>
    <w:rsid w:val="00401E16"/>
    <w:rsid w:val="00402F4D"/>
    <w:rsid w:val="00403A38"/>
    <w:rsid w:val="00410A73"/>
    <w:rsid w:val="00414F46"/>
    <w:rsid w:val="00416309"/>
    <w:rsid w:val="004228FE"/>
    <w:rsid w:val="00426ACA"/>
    <w:rsid w:val="00433956"/>
    <w:rsid w:val="004346CE"/>
    <w:rsid w:val="0043621A"/>
    <w:rsid w:val="00441533"/>
    <w:rsid w:val="004434C3"/>
    <w:rsid w:val="00443A6B"/>
    <w:rsid w:val="00455020"/>
    <w:rsid w:val="004817DC"/>
    <w:rsid w:val="00482B2A"/>
    <w:rsid w:val="004843D3"/>
    <w:rsid w:val="00497153"/>
    <w:rsid w:val="004B23CC"/>
    <w:rsid w:val="004B3A4F"/>
    <w:rsid w:val="004B449D"/>
    <w:rsid w:val="004B4973"/>
    <w:rsid w:val="004D50B8"/>
    <w:rsid w:val="004D6278"/>
    <w:rsid w:val="004E21F4"/>
    <w:rsid w:val="004E46DD"/>
    <w:rsid w:val="00501AA5"/>
    <w:rsid w:val="00501F44"/>
    <w:rsid w:val="00506296"/>
    <w:rsid w:val="00511002"/>
    <w:rsid w:val="00514051"/>
    <w:rsid w:val="0051432C"/>
    <w:rsid w:val="005230EC"/>
    <w:rsid w:val="00530B0A"/>
    <w:rsid w:val="0053490B"/>
    <w:rsid w:val="0054356D"/>
    <w:rsid w:val="00544602"/>
    <w:rsid w:val="005452F1"/>
    <w:rsid w:val="00553DD9"/>
    <w:rsid w:val="0055742A"/>
    <w:rsid w:val="00557AB1"/>
    <w:rsid w:val="00560F96"/>
    <w:rsid w:val="0056671C"/>
    <w:rsid w:val="0057174D"/>
    <w:rsid w:val="00586D8C"/>
    <w:rsid w:val="005A6043"/>
    <w:rsid w:val="005B17CA"/>
    <w:rsid w:val="005C775A"/>
    <w:rsid w:val="005D619E"/>
    <w:rsid w:val="005E1DC7"/>
    <w:rsid w:val="005E335D"/>
    <w:rsid w:val="00603C8C"/>
    <w:rsid w:val="00620689"/>
    <w:rsid w:val="006227C7"/>
    <w:rsid w:val="00624F7E"/>
    <w:rsid w:val="006437C2"/>
    <w:rsid w:val="00647B0F"/>
    <w:rsid w:val="00650B75"/>
    <w:rsid w:val="0065219C"/>
    <w:rsid w:val="006543D6"/>
    <w:rsid w:val="00654954"/>
    <w:rsid w:val="00655A8B"/>
    <w:rsid w:val="00656F0D"/>
    <w:rsid w:val="00664B4F"/>
    <w:rsid w:val="00670571"/>
    <w:rsid w:val="0067222B"/>
    <w:rsid w:val="006750B7"/>
    <w:rsid w:val="006A2479"/>
    <w:rsid w:val="006C6F58"/>
    <w:rsid w:val="006D0743"/>
    <w:rsid w:val="006D2C2B"/>
    <w:rsid w:val="006D4EED"/>
    <w:rsid w:val="006E6A27"/>
    <w:rsid w:val="006F219B"/>
    <w:rsid w:val="00704995"/>
    <w:rsid w:val="007164F5"/>
    <w:rsid w:val="00725F70"/>
    <w:rsid w:val="00726AAA"/>
    <w:rsid w:val="007351D1"/>
    <w:rsid w:val="00743C1D"/>
    <w:rsid w:val="0075356C"/>
    <w:rsid w:val="007573A5"/>
    <w:rsid w:val="00761C28"/>
    <w:rsid w:val="00766626"/>
    <w:rsid w:val="007708CC"/>
    <w:rsid w:val="00775843"/>
    <w:rsid w:val="00777A17"/>
    <w:rsid w:val="00782A3E"/>
    <w:rsid w:val="0078732C"/>
    <w:rsid w:val="007920E9"/>
    <w:rsid w:val="00797107"/>
    <w:rsid w:val="007A552D"/>
    <w:rsid w:val="007A6BC5"/>
    <w:rsid w:val="007B4991"/>
    <w:rsid w:val="007B581F"/>
    <w:rsid w:val="007C35EE"/>
    <w:rsid w:val="007C4E17"/>
    <w:rsid w:val="007D0936"/>
    <w:rsid w:val="007D7ED0"/>
    <w:rsid w:val="007E2314"/>
    <w:rsid w:val="007E525B"/>
    <w:rsid w:val="007E7CA9"/>
    <w:rsid w:val="007F078E"/>
    <w:rsid w:val="007F09DD"/>
    <w:rsid w:val="007F4371"/>
    <w:rsid w:val="007F5E43"/>
    <w:rsid w:val="00800103"/>
    <w:rsid w:val="0081035F"/>
    <w:rsid w:val="00817C60"/>
    <w:rsid w:val="00817CD5"/>
    <w:rsid w:val="0083419E"/>
    <w:rsid w:val="008366F7"/>
    <w:rsid w:val="00872D46"/>
    <w:rsid w:val="008749DC"/>
    <w:rsid w:val="00875789"/>
    <w:rsid w:val="00876FA4"/>
    <w:rsid w:val="00880803"/>
    <w:rsid w:val="008941CB"/>
    <w:rsid w:val="00896E53"/>
    <w:rsid w:val="008A509F"/>
    <w:rsid w:val="008B22C5"/>
    <w:rsid w:val="008C73A1"/>
    <w:rsid w:val="008C7683"/>
    <w:rsid w:val="008D3A50"/>
    <w:rsid w:val="008F07F7"/>
    <w:rsid w:val="008F1AAA"/>
    <w:rsid w:val="008F59B2"/>
    <w:rsid w:val="008F678E"/>
    <w:rsid w:val="00901726"/>
    <w:rsid w:val="00902B85"/>
    <w:rsid w:val="009037AD"/>
    <w:rsid w:val="00911790"/>
    <w:rsid w:val="0092324B"/>
    <w:rsid w:val="00926C85"/>
    <w:rsid w:val="00926E4B"/>
    <w:rsid w:val="009305EF"/>
    <w:rsid w:val="00935495"/>
    <w:rsid w:val="009370E8"/>
    <w:rsid w:val="0093722C"/>
    <w:rsid w:val="00937D1B"/>
    <w:rsid w:val="009476C5"/>
    <w:rsid w:val="00947C94"/>
    <w:rsid w:val="0095723A"/>
    <w:rsid w:val="00964977"/>
    <w:rsid w:val="00972D9F"/>
    <w:rsid w:val="0097392D"/>
    <w:rsid w:val="00984134"/>
    <w:rsid w:val="009940CD"/>
    <w:rsid w:val="009A0EED"/>
    <w:rsid w:val="009B01EB"/>
    <w:rsid w:val="009B0448"/>
    <w:rsid w:val="009B715E"/>
    <w:rsid w:val="009C0352"/>
    <w:rsid w:val="009C185F"/>
    <w:rsid w:val="009C2174"/>
    <w:rsid w:val="009C44FB"/>
    <w:rsid w:val="009C7776"/>
    <w:rsid w:val="009C7D56"/>
    <w:rsid w:val="009D0DE7"/>
    <w:rsid w:val="009D18C8"/>
    <w:rsid w:val="009E3002"/>
    <w:rsid w:val="009E4832"/>
    <w:rsid w:val="009E57C0"/>
    <w:rsid w:val="009E5D26"/>
    <w:rsid w:val="009F04B1"/>
    <w:rsid w:val="009F0D5F"/>
    <w:rsid w:val="009F1A26"/>
    <w:rsid w:val="009F2476"/>
    <w:rsid w:val="009F27FF"/>
    <w:rsid w:val="009F5C16"/>
    <w:rsid w:val="00A047F0"/>
    <w:rsid w:val="00A05F95"/>
    <w:rsid w:val="00A23BF8"/>
    <w:rsid w:val="00A23D85"/>
    <w:rsid w:val="00A270A3"/>
    <w:rsid w:val="00A272EC"/>
    <w:rsid w:val="00A304C9"/>
    <w:rsid w:val="00A456B3"/>
    <w:rsid w:val="00A507DF"/>
    <w:rsid w:val="00A51C5F"/>
    <w:rsid w:val="00A52072"/>
    <w:rsid w:val="00A67439"/>
    <w:rsid w:val="00A74BF2"/>
    <w:rsid w:val="00A85390"/>
    <w:rsid w:val="00A95694"/>
    <w:rsid w:val="00A95E61"/>
    <w:rsid w:val="00AB5C43"/>
    <w:rsid w:val="00AC69F5"/>
    <w:rsid w:val="00AC6B7F"/>
    <w:rsid w:val="00AD10F4"/>
    <w:rsid w:val="00AE7B7A"/>
    <w:rsid w:val="00AF1AB7"/>
    <w:rsid w:val="00AF65FE"/>
    <w:rsid w:val="00B0419C"/>
    <w:rsid w:val="00B06172"/>
    <w:rsid w:val="00B06692"/>
    <w:rsid w:val="00B15075"/>
    <w:rsid w:val="00B3370A"/>
    <w:rsid w:val="00B51035"/>
    <w:rsid w:val="00B5440A"/>
    <w:rsid w:val="00B54CB4"/>
    <w:rsid w:val="00B63499"/>
    <w:rsid w:val="00B66E80"/>
    <w:rsid w:val="00B672C0"/>
    <w:rsid w:val="00B6732C"/>
    <w:rsid w:val="00B8744D"/>
    <w:rsid w:val="00B9315D"/>
    <w:rsid w:val="00BA072F"/>
    <w:rsid w:val="00BA261B"/>
    <w:rsid w:val="00BB6A00"/>
    <w:rsid w:val="00BC4281"/>
    <w:rsid w:val="00BC5601"/>
    <w:rsid w:val="00BE256C"/>
    <w:rsid w:val="00BE32B4"/>
    <w:rsid w:val="00BE5065"/>
    <w:rsid w:val="00BE689B"/>
    <w:rsid w:val="00BF1FC0"/>
    <w:rsid w:val="00BF2DB2"/>
    <w:rsid w:val="00BF37DC"/>
    <w:rsid w:val="00BF56C0"/>
    <w:rsid w:val="00C04FF5"/>
    <w:rsid w:val="00C06971"/>
    <w:rsid w:val="00C1606B"/>
    <w:rsid w:val="00C174C2"/>
    <w:rsid w:val="00C179A3"/>
    <w:rsid w:val="00C259D3"/>
    <w:rsid w:val="00C27B15"/>
    <w:rsid w:val="00C30316"/>
    <w:rsid w:val="00C30B1F"/>
    <w:rsid w:val="00C33E77"/>
    <w:rsid w:val="00C404AD"/>
    <w:rsid w:val="00C4144C"/>
    <w:rsid w:val="00C537A5"/>
    <w:rsid w:val="00C54C2B"/>
    <w:rsid w:val="00C6188D"/>
    <w:rsid w:val="00C62818"/>
    <w:rsid w:val="00C66307"/>
    <w:rsid w:val="00C74825"/>
    <w:rsid w:val="00C75512"/>
    <w:rsid w:val="00C755EC"/>
    <w:rsid w:val="00C75678"/>
    <w:rsid w:val="00C830FA"/>
    <w:rsid w:val="00C92A0C"/>
    <w:rsid w:val="00C93168"/>
    <w:rsid w:val="00CA3596"/>
    <w:rsid w:val="00CB13DA"/>
    <w:rsid w:val="00CB5691"/>
    <w:rsid w:val="00CB7C0C"/>
    <w:rsid w:val="00CC0704"/>
    <w:rsid w:val="00CC2214"/>
    <w:rsid w:val="00CC2CBE"/>
    <w:rsid w:val="00CC2F2B"/>
    <w:rsid w:val="00CD4BDA"/>
    <w:rsid w:val="00CE4023"/>
    <w:rsid w:val="00CF0292"/>
    <w:rsid w:val="00CF22B4"/>
    <w:rsid w:val="00CF3E7F"/>
    <w:rsid w:val="00D22BC8"/>
    <w:rsid w:val="00D253F6"/>
    <w:rsid w:val="00D4055B"/>
    <w:rsid w:val="00D507E4"/>
    <w:rsid w:val="00D54EDC"/>
    <w:rsid w:val="00D615E5"/>
    <w:rsid w:val="00D67028"/>
    <w:rsid w:val="00D70AF1"/>
    <w:rsid w:val="00D73FFF"/>
    <w:rsid w:val="00D8679A"/>
    <w:rsid w:val="00D876C8"/>
    <w:rsid w:val="00D9196E"/>
    <w:rsid w:val="00D93BC2"/>
    <w:rsid w:val="00DA41EB"/>
    <w:rsid w:val="00DA6DD7"/>
    <w:rsid w:val="00DA771B"/>
    <w:rsid w:val="00DB0125"/>
    <w:rsid w:val="00DB2964"/>
    <w:rsid w:val="00DC05D6"/>
    <w:rsid w:val="00DC322B"/>
    <w:rsid w:val="00DD457B"/>
    <w:rsid w:val="00DE0F46"/>
    <w:rsid w:val="00DF6879"/>
    <w:rsid w:val="00E04D53"/>
    <w:rsid w:val="00E17C60"/>
    <w:rsid w:val="00E17E1A"/>
    <w:rsid w:val="00E24DEA"/>
    <w:rsid w:val="00E2649D"/>
    <w:rsid w:val="00E35517"/>
    <w:rsid w:val="00E40531"/>
    <w:rsid w:val="00E4113F"/>
    <w:rsid w:val="00E5634C"/>
    <w:rsid w:val="00E605FF"/>
    <w:rsid w:val="00E619E6"/>
    <w:rsid w:val="00E6397C"/>
    <w:rsid w:val="00E80C33"/>
    <w:rsid w:val="00E8254F"/>
    <w:rsid w:val="00E87BEB"/>
    <w:rsid w:val="00E90268"/>
    <w:rsid w:val="00EA51A8"/>
    <w:rsid w:val="00EA7E6D"/>
    <w:rsid w:val="00EB2D3D"/>
    <w:rsid w:val="00EC2D88"/>
    <w:rsid w:val="00EC59A5"/>
    <w:rsid w:val="00EC689F"/>
    <w:rsid w:val="00ED2DDD"/>
    <w:rsid w:val="00EE0D93"/>
    <w:rsid w:val="00EE1CAF"/>
    <w:rsid w:val="00EE7DCC"/>
    <w:rsid w:val="00EF223D"/>
    <w:rsid w:val="00EF278A"/>
    <w:rsid w:val="00EF2A65"/>
    <w:rsid w:val="00EF2E73"/>
    <w:rsid w:val="00EF3B9E"/>
    <w:rsid w:val="00EF4724"/>
    <w:rsid w:val="00EF7D96"/>
    <w:rsid w:val="00F03DC1"/>
    <w:rsid w:val="00F23BCA"/>
    <w:rsid w:val="00F406AF"/>
    <w:rsid w:val="00F53E9A"/>
    <w:rsid w:val="00F6077D"/>
    <w:rsid w:val="00F76485"/>
    <w:rsid w:val="00F81212"/>
    <w:rsid w:val="00F83564"/>
    <w:rsid w:val="00F86807"/>
    <w:rsid w:val="00F9105C"/>
    <w:rsid w:val="00FA7D25"/>
    <w:rsid w:val="00FB2D54"/>
    <w:rsid w:val="00FB3967"/>
    <w:rsid w:val="00FC2EFF"/>
    <w:rsid w:val="00FF2DE2"/>
    <w:rsid w:val="04EBCEAD"/>
    <w:rsid w:val="13E25117"/>
    <w:rsid w:val="2458A7F7"/>
    <w:rsid w:val="2CD93CDE"/>
    <w:rsid w:val="3862E98D"/>
    <w:rsid w:val="43C4F2FA"/>
    <w:rsid w:val="488DE8B9"/>
    <w:rsid w:val="4DD77899"/>
    <w:rsid w:val="4EBD96BF"/>
    <w:rsid w:val="4EFC36ED"/>
    <w:rsid w:val="51951199"/>
    <w:rsid w:val="53CE3691"/>
    <w:rsid w:val="55024364"/>
    <w:rsid w:val="68F30E43"/>
    <w:rsid w:val="7CB1840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7156"/>
  <w15:docId w15:val="{11E83D4F-A1A0-4428-8E8B-DA199347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CB7C0C"/>
    <w:pPr>
      <w:ind w:left="720"/>
      <w:contextualSpacing/>
    </w:pPr>
  </w:style>
  <w:style w:type="paragraph" w:styleId="Encabezado">
    <w:name w:val="header"/>
    <w:basedOn w:val="Normal"/>
    <w:link w:val="EncabezadoCar"/>
    <w:unhideWhenUsed/>
    <w:rsid w:val="00CE4023"/>
    <w:pPr>
      <w:tabs>
        <w:tab w:val="center" w:pos="4252"/>
        <w:tab w:val="right" w:pos="8504"/>
      </w:tabs>
      <w:spacing w:after="0" w:line="240" w:lineRule="auto"/>
    </w:pPr>
  </w:style>
  <w:style w:type="character" w:customStyle="1" w:styleId="EncabezadoCar">
    <w:name w:val="Encabezado Car"/>
    <w:basedOn w:val="Fuentedeprrafopredeter"/>
    <w:link w:val="Encabezado"/>
    <w:rsid w:val="00CE4023"/>
  </w:style>
  <w:style w:type="paragraph" w:styleId="Piedepgina">
    <w:name w:val="footer"/>
    <w:basedOn w:val="Normal"/>
    <w:link w:val="PiedepginaCar"/>
    <w:uiPriority w:val="99"/>
    <w:unhideWhenUsed/>
    <w:rsid w:val="00CE40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4023"/>
  </w:style>
  <w:style w:type="paragraph" w:styleId="Textodeglobo">
    <w:name w:val="Balloon Text"/>
    <w:basedOn w:val="Normal"/>
    <w:link w:val="TextodegloboCar"/>
    <w:uiPriority w:val="99"/>
    <w:semiHidden/>
    <w:unhideWhenUsed/>
    <w:rsid w:val="00CE40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4023"/>
    <w:rPr>
      <w:rFonts w:ascii="Tahoma" w:hAnsi="Tahoma" w:cs="Tahoma"/>
      <w:sz w:val="16"/>
      <w:szCs w:val="16"/>
    </w:rPr>
  </w:style>
  <w:style w:type="paragraph" w:styleId="Textosinformato">
    <w:name w:val="Plain Text"/>
    <w:basedOn w:val="Normal"/>
    <w:link w:val="TextosinformatoCar"/>
    <w:rsid w:val="00CE4023"/>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CE4023"/>
    <w:rPr>
      <w:rFonts w:ascii="Courier New" w:eastAsia="Times New Roman" w:hAnsi="Courier New" w:cs="Times New Roman"/>
      <w:sz w:val="20"/>
      <w:szCs w:val="20"/>
      <w:lang w:eastAsia="es-ES"/>
    </w:rPr>
  </w:style>
  <w:style w:type="character" w:styleId="Nmerodepgina">
    <w:name w:val="page number"/>
    <w:rsid w:val="00CE4023"/>
    <w:rPr>
      <w:rFonts w:cs="Times New Roman"/>
    </w:rPr>
  </w:style>
  <w:style w:type="character" w:styleId="Refdecomentario">
    <w:name w:val="annotation reference"/>
    <w:basedOn w:val="Fuentedeprrafopredeter"/>
    <w:uiPriority w:val="99"/>
    <w:semiHidden/>
    <w:unhideWhenUsed/>
    <w:rsid w:val="004E46DD"/>
    <w:rPr>
      <w:sz w:val="16"/>
      <w:szCs w:val="16"/>
    </w:rPr>
  </w:style>
  <w:style w:type="paragraph" w:styleId="Textocomentario">
    <w:name w:val="annotation text"/>
    <w:basedOn w:val="Normal"/>
    <w:link w:val="TextocomentarioCar"/>
    <w:uiPriority w:val="99"/>
    <w:unhideWhenUsed/>
    <w:rsid w:val="004E46DD"/>
    <w:pPr>
      <w:spacing w:line="240" w:lineRule="auto"/>
    </w:pPr>
    <w:rPr>
      <w:sz w:val="20"/>
      <w:szCs w:val="20"/>
    </w:rPr>
  </w:style>
  <w:style w:type="character" w:customStyle="1" w:styleId="TextocomentarioCar">
    <w:name w:val="Texto comentario Car"/>
    <w:basedOn w:val="Fuentedeprrafopredeter"/>
    <w:link w:val="Textocomentario"/>
    <w:uiPriority w:val="99"/>
    <w:rsid w:val="004E46DD"/>
    <w:rPr>
      <w:sz w:val="20"/>
      <w:szCs w:val="20"/>
    </w:rPr>
  </w:style>
  <w:style w:type="paragraph" w:styleId="Asuntodelcomentario">
    <w:name w:val="annotation subject"/>
    <w:basedOn w:val="Textocomentario"/>
    <w:next w:val="Textocomentario"/>
    <w:link w:val="AsuntodelcomentarioCar"/>
    <w:uiPriority w:val="99"/>
    <w:semiHidden/>
    <w:unhideWhenUsed/>
    <w:rsid w:val="004E46DD"/>
    <w:rPr>
      <w:b/>
      <w:bCs/>
    </w:rPr>
  </w:style>
  <w:style w:type="character" w:customStyle="1" w:styleId="AsuntodelcomentarioCar">
    <w:name w:val="Asunto del comentario Car"/>
    <w:basedOn w:val="TextocomentarioCar"/>
    <w:link w:val="Asuntodelcomentario"/>
    <w:uiPriority w:val="99"/>
    <w:semiHidden/>
    <w:rsid w:val="004E46DD"/>
    <w:rPr>
      <w:b/>
      <w:bCs/>
      <w:sz w:val="20"/>
      <w:szCs w:val="20"/>
    </w:rPr>
  </w:style>
  <w:style w:type="character" w:styleId="Textodelmarcadordeposicin">
    <w:name w:val="Placeholder Text"/>
    <w:basedOn w:val="Fuentedeprrafopredeter"/>
    <w:uiPriority w:val="99"/>
    <w:semiHidden/>
    <w:rsid w:val="00F81212"/>
    <w:rPr>
      <w:color w:val="808080"/>
    </w:rPr>
  </w:style>
  <w:style w:type="character" w:customStyle="1" w:styleId="PrrafodelistaCar">
    <w:name w:val="Párrafo de lista Car"/>
    <w:link w:val="Prrafodelista"/>
    <w:uiPriority w:val="34"/>
    <w:locked/>
    <w:rsid w:val="009476C5"/>
  </w:style>
  <w:style w:type="paragraph" w:styleId="Revisin">
    <w:name w:val="Revision"/>
    <w:hidden/>
    <w:uiPriority w:val="99"/>
    <w:semiHidden/>
    <w:rsid w:val="007E23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19270">
      <w:bodyDiv w:val="1"/>
      <w:marLeft w:val="0"/>
      <w:marRight w:val="0"/>
      <w:marTop w:val="0"/>
      <w:marBottom w:val="0"/>
      <w:divBdr>
        <w:top w:val="none" w:sz="0" w:space="0" w:color="auto"/>
        <w:left w:val="none" w:sz="0" w:space="0" w:color="auto"/>
        <w:bottom w:val="none" w:sz="0" w:space="0" w:color="auto"/>
        <w:right w:val="none" w:sz="0" w:space="0" w:color="auto"/>
      </w:divBdr>
    </w:div>
    <w:div w:id="1723597144">
      <w:bodyDiv w:val="1"/>
      <w:marLeft w:val="0"/>
      <w:marRight w:val="0"/>
      <w:marTop w:val="0"/>
      <w:marBottom w:val="0"/>
      <w:divBdr>
        <w:top w:val="none" w:sz="0" w:space="0" w:color="auto"/>
        <w:left w:val="none" w:sz="0" w:space="0" w:color="auto"/>
        <w:bottom w:val="none" w:sz="0" w:space="0" w:color="auto"/>
        <w:right w:val="none" w:sz="0" w:space="0" w:color="auto"/>
      </w:divBdr>
    </w:div>
    <w:div w:id="18000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2AE897-39E6-4A80-B6D4-78D7BC90FE17}">
  <ds:schemaRefs>
    <ds:schemaRef ds:uri="http://schemas.microsoft.com/sharepoint/v3/contenttype/forms"/>
  </ds:schemaRefs>
</ds:datastoreItem>
</file>

<file path=customXml/itemProps2.xml><?xml version="1.0" encoding="utf-8"?>
<ds:datastoreItem xmlns:ds="http://schemas.openxmlformats.org/officeDocument/2006/customXml" ds:itemID="{304757A7-5C1D-4FC4-8038-612597D3CE7A}">
  <ds:schemaRefs>
    <ds:schemaRef ds:uri="http://schemas.openxmlformats.org/officeDocument/2006/bibliography"/>
  </ds:schemaRefs>
</ds:datastoreItem>
</file>

<file path=customXml/itemProps3.xml><?xml version="1.0" encoding="utf-8"?>
<ds:datastoreItem xmlns:ds="http://schemas.openxmlformats.org/officeDocument/2006/customXml" ds:itemID="{64577211-1B51-46F0-AC8E-5D4AD8CC1E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8650AE-6953-4821-AE37-4175E450A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Pages>
  <Words>2324</Words>
  <Characters>12518</Characters>
  <Application>Microsoft Office Word</Application>
  <DocSecurity>0</DocSecurity>
  <Lines>310</Lines>
  <Paragraphs>119</Paragraphs>
  <ScaleCrop>false</ScaleCrop>
  <Company>superfinanciera</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Marcela Pineda Gutierrez</dc:creator>
  <cp:keywords/>
  <cp:lastModifiedBy>Ana Maria Perez Herran</cp:lastModifiedBy>
  <cp:revision>31</cp:revision>
  <cp:lastPrinted>2019-12-16T11:02:00Z</cp:lastPrinted>
  <dcterms:created xsi:type="dcterms:W3CDTF">2025-10-30T22:01:00Z</dcterms:created>
  <dcterms:modified xsi:type="dcterms:W3CDTF">2026-04-13T15:01:00Z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MediaServiceImageTags">
    <vt:lpwstr/>
  </property>
  <property fmtid="{D5CDD505-2E9C-101B-9397-08002B2CF9AE}" pid="4" name="Order">
    <vt:r8>631300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